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版本号：SGLQ-2026024.3B120260714001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莲湖区区级应急成品粮储备项目(二次)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SGLQ-2026024.3B1</w:t>
      </w:r>
      <w:r>
        <w:br/>
      </w:r>
      <w:r>
        <w:br/>
      </w:r>
      <w:r>
        <w:br/>
      </w:r>
    </w:p>
    <w:p>
      <w:pPr>
        <w:pStyle w:val="null3"/>
        <w:jc w:val="center"/>
        <w:outlineLvl w:val="2"/>
      </w:pPr>
      <w:r>
        <w:rPr>
          <w:rFonts w:ascii="仿宋_GB2312" w:hAnsi="仿宋_GB2312" w:cs="仿宋_GB2312" w:eastAsia="仿宋_GB2312"/>
          <w:sz w:val="28"/>
          <w:b/>
        </w:rPr>
        <w:t>西安市莲湖区发展和改革委员会</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西安市莲湖区发展和改革委员会</w:t>
      </w:r>
      <w:r>
        <w:rPr>
          <w:rFonts w:ascii="仿宋_GB2312" w:hAnsi="仿宋_GB2312" w:cs="仿宋_GB2312" w:eastAsia="仿宋_GB2312"/>
        </w:rPr>
        <w:t>委托，拟对</w:t>
      </w:r>
      <w:r>
        <w:rPr>
          <w:rFonts w:ascii="仿宋_GB2312" w:hAnsi="仿宋_GB2312" w:cs="仿宋_GB2312" w:eastAsia="仿宋_GB2312"/>
        </w:rPr>
        <w:t>莲湖区区级应急成品粮储备项目(二次)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SGLQ-2026024.3B1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莲湖区区级应急成品粮储备项目(二次)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莲湖区共承担1875吨区级应急成品粮储备保障任务，其中面粉1125吨，大米750吨，储备粮粮权归区政府所有，需委托符合一定储备条件的粮食企业进行代储。应急成品粮储备所需货款由承储企业自筹解决，补贴费用由区级财政承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采购包1（莲湖区区级应急成品粮储备项目（750吨大米））：属于专门面向中小企业采购。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西安市莲湖区北院门159号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029-87295650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采购包1：570,750.00元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开户银行：华夏银行股份有限公司西安航天城支行； 银行账号：11475000000052459。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西安市莲湖区发展和改革委员会</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地址：西安市雁塔区科泰大厦1810室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莲湖区共承担1875吨区级应急成品粮储备保障任务，其中面粉1125吨，大米750吨，储备粮粮权归区政府所有，需委托符合一定储备条件的粮食企业进行代储。应急成品粮储备所需货款由承储企业自筹解决，补贴费用由区级财政承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570,750.00</w:t>
      </w:r>
    </w:p>
    <w:p>
      <w:pPr>
        <w:pStyle w:val="null3"/>
      </w:pPr>
      <w:r>
        <w:rPr>
          <w:rFonts w:ascii="仿宋_GB2312" w:hAnsi="仿宋_GB2312" w:cs="仿宋_GB2312" w:eastAsia="仿宋_GB2312"/>
        </w:rPr>
        <w:t>采购包最高限价（元）: 570,750.00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代储莲湖区区级应急成品粮储备（第3包）750吨大米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标的名称：代储莲湖区区级应急成品粮储备（第3包）750吨大米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代储莲湖区区级应急成品粮储备大米750吨。落实莲湖区区级应急成品粮储备任务，确保应急成品粮数量真实，质量良好，储存安全。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1.规格以25kg包装为主，大米符合 GB/T1354-2018《大米》中粳米二级(含)以上标准要求，标识为地理标志产品国家标准或者行业标准、团体标准、企业标准的大米应符合前述质量要求。</w:t>
            </w:r>
          </w:p>
          <w:p>
            <w:pPr>
              <w:pStyle w:val="null3"/>
            </w:pPr>
            <w:r>
              <w:rPr>
                <w:rFonts w:ascii="仿宋_GB2312" w:hAnsi="仿宋_GB2312" w:cs="仿宋_GB2312" w:eastAsia="仿宋_GB2312"/>
              </w:rPr>
              <w:t>2.包装形态储存区级应急成品储备粮包装规格为每袋25公斤及其以下单位规格和计量误差应当符合国家有关规定。且项目后期粮食外运时所产生的运输费用由供应商自行承担。</w:t>
            </w:r>
          </w:p>
          <w:p>
            <w:pPr>
              <w:pStyle w:val="null3"/>
            </w:pPr>
            <w:r>
              <w:rPr>
                <w:rFonts w:ascii="仿宋_GB2312" w:hAnsi="仿宋_GB2312" w:cs="仿宋_GB2312" w:eastAsia="仿宋_GB2312"/>
              </w:rPr>
              <w:t>3.承储企业按照“保持规模、保证质量、先入先出、均衡有序”的原则，在保质期内自主开展区级成品储备粮轮换工作。包装形态储存的区级应急成品储备粮，每年高温时段（6月-8月）库存数量不低于承储计划数量的80%，其余月份库存数量任何时点须足额达到承储计划数量。</w:t>
            </w:r>
          </w:p>
          <w:p>
            <w:pPr>
              <w:pStyle w:val="null3"/>
            </w:pPr>
            <w:r>
              <w:rPr>
                <w:rFonts w:ascii="仿宋_GB2312" w:hAnsi="仿宋_GB2312" w:cs="仿宋_GB2312" w:eastAsia="仿宋_GB2312"/>
              </w:rPr>
              <w:t>4.承储企业应建立健全区级应急成品储备粮出入库、质量、储存、检化验和防虫、防火、防盗、防汛等安全管理制度，并配备必要安全防护措施。</w:t>
            </w:r>
          </w:p>
          <w:p>
            <w:pPr>
              <w:pStyle w:val="null3"/>
            </w:pPr>
            <w:r>
              <w:rPr>
                <w:rFonts w:ascii="仿宋_GB2312" w:hAnsi="仿宋_GB2312" w:cs="仿宋_GB2312" w:eastAsia="仿宋_GB2312"/>
              </w:rPr>
              <w:t>5.区级应急成品储备粮储存仓房应符合国家《粮油储藏技术规范》对粮仓的要求。</w:t>
            </w:r>
          </w:p>
          <w:p>
            <w:pPr>
              <w:pStyle w:val="null3"/>
            </w:pPr>
            <w:r>
              <w:rPr>
                <w:rFonts w:ascii="仿宋_GB2312" w:hAnsi="仿宋_GB2312" w:cs="仿宋_GB2312" w:eastAsia="仿宋_GB2312"/>
              </w:rPr>
              <w:t>6.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区发展和改革委员会（区粮食和物资储备局）同意。</w:t>
            </w:r>
          </w:p>
          <w:p>
            <w:pPr>
              <w:pStyle w:val="null3"/>
            </w:pPr>
            <w:r>
              <w:rPr>
                <w:rFonts w:ascii="仿宋_GB2312" w:hAnsi="仿宋_GB2312" w:cs="仿宋_GB2312" w:eastAsia="仿宋_GB2312"/>
              </w:rPr>
              <w:t>7.区级成品储备粮仓房须悬挂区级成品储备粮专牌，在显著位置张贴“区级储备粮仓单”“区级成品储备粮质量检验记录卡”“区级储备粮管理责任卡”。仓内分垛存放的区级成品储备粮，应在各垛位醒目位置设置“区级成品储备粮垛卡”。</w:t>
            </w:r>
          </w:p>
          <w:p>
            <w:pPr>
              <w:pStyle w:val="null3"/>
            </w:pPr>
            <w:r>
              <w:rPr>
                <w:rFonts w:ascii="仿宋_GB2312" w:hAnsi="仿宋_GB2312" w:cs="仿宋_GB2312" w:eastAsia="仿宋_GB2312"/>
              </w:rPr>
              <w:t>8.区级成品储备粮实行专人保管、专账记载。承储企业应当安排经培训考核合格的人员从事区级成品储备粮保管工作，按照成品粮油储藏有关要求，定期进行检查，分析粮情，做好检测记录，发现问题及时处理。必须按照有关统计、财务、保管制度的要求，建立健全区级成品储备粮专账，并定期进行核查，做到账目齐全、装订规范、内容真实、账账相符、账实相符。</w:t>
            </w:r>
          </w:p>
          <w:p>
            <w:pPr>
              <w:pStyle w:val="null3"/>
            </w:pPr>
            <w:r>
              <w:rPr>
                <w:rFonts w:ascii="仿宋_GB2312" w:hAnsi="仿宋_GB2312" w:cs="仿宋_GB2312" w:eastAsia="仿宋_GB2312"/>
              </w:rPr>
              <w:t>9.承储企业应当建立完善的成品粮质量检验制度，配备必要的检验仪器设备和具有农产品食品检验员职业资格的人员，定期对应急成品储备粮的质量、主要食品安全指标按照国家标准进行检验，对应急成品储备粮的粮情安全状况、存放地点卫生状况进行定期检查。区发展和改革委员会（区粮食和物资储备局）委托第三方检测机构对储存的区级应急成品储备粮质量进行定期检验。</w:t>
            </w:r>
          </w:p>
          <w:p>
            <w:pPr>
              <w:pStyle w:val="null3"/>
            </w:pPr>
            <w:r>
              <w:rPr>
                <w:rFonts w:ascii="仿宋_GB2312" w:hAnsi="仿宋_GB2312" w:cs="仿宋_GB2312" w:eastAsia="仿宋_GB2312"/>
              </w:rPr>
              <w:t>10.承储企业必须以《国家粮食流通统计制度》规定的方式和时间向住所所在地区县发展和改革委员会（区粮食和物资储备局）报送区级应急成品储备粮的有关统计报表，同时将区级应急成品储备粮储存、轮换等情况报送区发展和改革委员会 （区粮食和物资储备局）。</w:t>
            </w:r>
          </w:p>
          <w:p>
            <w:pPr>
              <w:pStyle w:val="null3"/>
            </w:pPr>
            <w:r>
              <w:rPr>
                <w:rFonts w:ascii="仿宋_GB2312" w:hAnsi="仿宋_GB2312" w:cs="仿宋_GB2312" w:eastAsia="仿宋_GB2312"/>
              </w:rPr>
              <w:t>11.在应对突发事件时，承储企业必须执行区粮食行政管理部门指令，服从政府粮食宏观调控措施或应急措施。必要时，区粮食行政管理部门根据《西安市莲湖区粮食应急预案》规定对承储企业的自有成品粮进行采购，按指定价格组织应急供应，稳定粮食市场。</w:t>
            </w:r>
          </w:p>
          <w:p>
            <w:pPr>
              <w:pStyle w:val="null3"/>
            </w:pPr>
            <w:r>
              <w:rPr>
                <w:rFonts w:ascii="仿宋_GB2312" w:hAnsi="仿宋_GB2312" w:cs="仿宋_GB2312" w:eastAsia="仿宋_GB2312"/>
                <w:sz w:val="21"/>
              </w:rPr>
              <w:t>★</w:t>
            </w:r>
            <w:r>
              <w:rPr>
                <w:rFonts w:ascii="仿宋_GB2312" w:hAnsi="仿宋_GB2312" w:cs="仿宋_GB2312" w:eastAsia="仿宋_GB2312"/>
              </w:rPr>
              <w:t>12.承储企业需按照省、市、区对于粮食购销领域监管信息化建设的要求，实现与省级平台互联互通，并保障系统日常运转正常。（需提供证明材料，包括但不限于功能截图、承诺等）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1.服务地点：成交供应商提供场地。</w:t>
            </w:r>
          </w:p>
          <w:p>
            <w:pPr>
              <w:pStyle w:val="null3"/>
            </w:pPr>
            <w:r>
              <w:rPr>
                <w:rFonts w:ascii="仿宋_GB2312" w:hAnsi="仿宋_GB2312" w:cs="仿宋_GB2312" w:eastAsia="仿宋_GB2312"/>
              </w:rPr>
              <w:t>2.服务期限：服务期1年，以合同约定的起止时间为准。。</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4.付款方式：按季度支付区级应急成品粮储备费用，由莲湖区财政局粮食风险基金专户，通过银行转账方式支付给代储企业。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服务期1年，以合同约定的起止时间为准。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成交供应商提供场地。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进度款，每季度对储备粮检查并符合储备粮管理相关规定，达到付款条件起30个工作日内，支付合同总金额的25.0%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违约责任：在合同履行期间，任何一方违反本合同的约定，视为违约。违约方应按合同总金额的20%支付对方违约金，并赔偿对方因违约而造成的实际损失。 解决争议的方法：合同执行中发生争议的，当事人双方应协商解决。协商不一致时，向甲方所在人民法院提起诉讼。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2.本项目合同包1采购标的所属行业为：仓储业； 3.本项目是否属于信用担保试点范围：否。 4.本项目为固定总价合同。 5.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针对服务内容及要求提供服务方案，包括但不限于：①温湿度控制；②虫鼠害防治；③通风作业；④粮情检查；⑤出入库管理等。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存储场所及条件</w:t>
            </w:r>
          </w:p>
        </w:tc>
        <w:tc>
          <w:tcPr>
            <w:tcW w:type="dxa" w:w="2492"/>
          </w:tcPr>
          <w:p>
            <w:pPr>
              <w:pStyle w:val="null3"/>
            </w:pPr>
            <w:r>
              <w:rPr>
                <w:rFonts w:ascii="仿宋_GB2312" w:hAnsi="仿宋_GB2312" w:cs="仿宋_GB2312" w:eastAsia="仿宋_GB2312"/>
              </w:rPr>
              <w:t>供应商具有良好的食品存储场所及条件,场所具备符合国家标准的防漏、防潮、防虫、防污染及通风条件，以及与粮食品种、储粮周期、成品粮储存功能、仓型、进出粮方式等相适应的粮食仓储设施，提供相关证明材料（包括但不限于场地图片、租赁协议或购买合同等）按其响应程度进行综合评审；食品存储场所及条件规范、证明材料齐全得12分；食品存储场所及条件较规范、证明材料较齐全得9分；食品存储场所及条件基本规范、证明材料有缺漏项得6分； 食品存储场所及条件不规范、证明材料有明显缺漏项得3分；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针对本项目人员配备，内容包含：①人员岗位职责；②人员组成及管理制度；③相关奖惩措施等。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针对服务内容及要求提供质量保证措施，包括但不限于：①控温、防潮措施；②原材料采购；③成品质量检测；④质量自检及整改措施等。 二、评审标准 1.完整性：方案须全面，对评审内容中的各项要求有详细描述及说明； 2.可实施性：切合本项目实际情况，实施步骤清晰、合理。 三、赋分标准 每项评审内容，每项评审内容每完全满足一项评审标准得0.5分，每项评审内容每有一处缺陷扣0.2分，未提供得0分，满分4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针对服务内容及要求提供应急预案，包括但不限于：①火灾；②洪涝；③虫害暴发；④防盗；⑤紧急调配运输等。每提供一项内容得3分，满分15分；不提供不得分。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包括但不限于：①承储合规承诺（遵守《西安市应急成品储备粮管理办法》）；②监管配合承诺；③问题整改承诺（⽴即/限期整改）；④违规处理配合承诺。每提供一项内容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针对服务内容及要求提供培训方案，包括但不限于：①食品安全培训；②消防演练培训；③抢险救灾培训；④日常巡视管理培训；每提供一项内容得3分，满分12分；不提供不得分。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15分。3.磋商报价得分=（磋商基准价/最终磋商报价）×15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