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BD232C">
      <w:pPr>
        <w:pStyle w:val="5"/>
        <w:jc w:val="center"/>
        <w:outlineLvl w:val="1"/>
        <w:rPr>
          <w:rFonts w:hint="default"/>
        </w:rPr>
      </w:pPr>
      <w:r>
        <w:rPr>
          <w:rFonts w:ascii="仿宋_GB2312" w:hAnsi="仿宋_GB2312" w:eastAsia="仿宋_GB2312" w:cs="仿宋_GB2312"/>
          <w:b/>
          <w:sz w:val="36"/>
        </w:rPr>
        <w:t>第三章</w:t>
      </w:r>
      <w:r>
        <w:rPr>
          <w:rFonts w:ascii="仿宋_GB2312" w:hAnsi="仿宋_GB2312" w:eastAsia="仿宋_GB2312" w:cs="仿宋_GB2312"/>
          <w:b/>
          <w:sz w:val="36"/>
          <w:lang w:eastAsia="zh-CN"/>
        </w:rPr>
        <w:t xml:space="preserve"> </w:t>
      </w:r>
      <w:r>
        <w:rPr>
          <w:rFonts w:hint="default" w:ascii="仿宋_GB2312" w:hAnsi="仿宋_GB2312" w:eastAsia="仿宋_GB2312" w:cs="仿宋_GB2312"/>
          <w:b/>
          <w:sz w:val="36"/>
          <w:lang w:eastAsia="zh-CN"/>
        </w:rPr>
        <w:t xml:space="preserve"> </w:t>
      </w:r>
      <w:r>
        <w:rPr>
          <w:rFonts w:ascii="仿宋_GB2312" w:hAnsi="仿宋_GB2312" w:eastAsia="仿宋_GB2312" w:cs="仿宋_GB2312"/>
          <w:b/>
          <w:sz w:val="36"/>
        </w:rPr>
        <w:t>磋商项目技术、服务、商务及其他要求</w:t>
      </w:r>
    </w:p>
    <w:p w14:paraId="66FA0561">
      <w:pPr>
        <w:pStyle w:val="5"/>
        <w:ind w:firstLine="480"/>
        <w:rPr>
          <w:rFonts w:hint="default"/>
        </w:rPr>
      </w:pPr>
      <w:r>
        <w:rPr>
          <w:rFonts w:ascii="仿宋_GB2312" w:hAnsi="仿宋_GB2312" w:eastAsia="仿宋_GB2312" w:cs="仿宋_GB2312"/>
        </w:rPr>
        <w:t>（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258A1E90">
      <w:pPr>
        <w:pStyle w:val="5"/>
        <w:outlineLvl w:val="2"/>
        <w:rPr>
          <w:rFonts w:hint="default"/>
        </w:rPr>
      </w:pPr>
      <w:r>
        <w:rPr>
          <w:rFonts w:ascii="仿宋_GB2312" w:hAnsi="仿宋_GB2312" w:eastAsia="仿宋_GB2312" w:cs="仿宋_GB2312"/>
          <w:b/>
          <w:sz w:val="28"/>
        </w:rPr>
        <w:t>3.1采购项目概况</w:t>
      </w:r>
    </w:p>
    <w:p w14:paraId="137586ED">
      <w:pPr>
        <w:pStyle w:val="5"/>
        <w:ind w:firstLine="400" w:firstLineChars="200"/>
        <w:rPr>
          <w:rFonts w:hint="default" w:ascii="仿宋_GB2312" w:hAnsi="仿宋_GB2312" w:eastAsia="仿宋_GB2312" w:cs="仿宋_GB2312"/>
        </w:rPr>
      </w:pPr>
      <w:r>
        <w:rPr>
          <w:rFonts w:ascii="仿宋_GB2312" w:hAnsi="仿宋_GB2312" w:eastAsia="仿宋_GB2312" w:cs="仿宋_GB2312"/>
        </w:rPr>
        <w:t>市公共资源交易中心已于</w:t>
      </w:r>
      <w:r>
        <w:rPr>
          <w:rFonts w:hint="default" w:ascii="仿宋_GB2312" w:hAnsi="仿宋_GB2312" w:eastAsia="仿宋_GB2312" w:cs="仿宋_GB2312"/>
        </w:rPr>
        <w:t>2026</w:t>
      </w:r>
      <w:r>
        <w:rPr>
          <w:rFonts w:ascii="仿宋_GB2312" w:hAnsi="仿宋_GB2312" w:eastAsia="仿宋_GB2312" w:cs="仿宋_GB2312"/>
        </w:rPr>
        <w:t>年9月</w:t>
      </w:r>
      <w:r>
        <w:rPr>
          <w:rFonts w:hint="default" w:ascii="仿宋_GB2312" w:hAnsi="仿宋_GB2312" w:eastAsia="仿宋_GB2312" w:cs="仿宋_GB2312"/>
        </w:rPr>
        <w:t>1</w:t>
      </w:r>
      <w:r>
        <w:rPr>
          <w:rFonts w:ascii="仿宋_GB2312" w:hAnsi="仿宋_GB2312" w:eastAsia="仿宋_GB2312" w:cs="仿宋_GB2312"/>
        </w:rPr>
        <w:t>日搬迁至市级机关凤城九路办公区办公，新址办公家具及设施设备已由办公（业务）用房资产方统一配置。为充分盘活国有资产，经与市公共资源交易中心协商，计划将其原址办公家具及部分可用设施设备搬迁至市级行政事业单位实体公物仓统筹调剂。</w:t>
      </w:r>
    </w:p>
    <w:p w14:paraId="0E109DB1">
      <w:pPr>
        <w:pStyle w:val="5"/>
        <w:outlineLvl w:val="2"/>
        <w:rPr>
          <w:rFonts w:hint="default"/>
        </w:rPr>
      </w:pPr>
      <w:r>
        <w:rPr>
          <w:rFonts w:ascii="仿宋_GB2312" w:hAnsi="仿宋_GB2312" w:eastAsia="仿宋_GB2312" w:cs="仿宋_GB2312"/>
          <w:b/>
          <w:sz w:val="28"/>
        </w:rPr>
        <w:t>3.2服务内容及服务要求</w:t>
      </w:r>
    </w:p>
    <w:p w14:paraId="61DCB9EE">
      <w:pPr>
        <w:pStyle w:val="5"/>
        <w:outlineLvl w:val="3"/>
        <w:rPr>
          <w:rFonts w:hint="default"/>
        </w:rPr>
      </w:pPr>
      <w:r>
        <w:rPr>
          <w:rFonts w:ascii="仿宋_GB2312" w:hAnsi="仿宋_GB2312" w:eastAsia="仿宋_GB2312" w:cs="仿宋_GB2312"/>
          <w:b/>
          <w:sz w:val="24"/>
        </w:rPr>
        <w:t>3.2.1服务内容</w:t>
      </w:r>
    </w:p>
    <w:p w14:paraId="01968A7A">
      <w:pPr>
        <w:pStyle w:val="5"/>
        <w:rPr>
          <w:rFonts w:hint="default"/>
        </w:rPr>
      </w:pPr>
      <w:r>
        <w:rPr>
          <w:rFonts w:ascii="仿宋_GB2312" w:hAnsi="仿宋_GB2312" w:eastAsia="仿宋_GB2312" w:cs="仿宋_GB2312"/>
        </w:rPr>
        <w:t>采购包1：</w:t>
      </w:r>
    </w:p>
    <w:p w14:paraId="2DB26295">
      <w:pPr>
        <w:pStyle w:val="5"/>
        <w:ind w:firstLine="400" w:firstLineChars="200"/>
        <w:rPr>
          <w:rFonts w:hint="default"/>
        </w:rPr>
      </w:pPr>
      <w:r>
        <w:rPr>
          <w:rFonts w:ascii="仿宋_GB2312" w:hAnsi="仿宋_GB2312" w:eastAsia="仿宋_GB2312" w:cs="仿宋_GB2312"/>
        </w:rPr>
        <w:t>采购包预算金额（元）:233067.00</w:t>
      </w:r>
    </w:p>
    <w:p w14:paraId="4432CA98">
      <w:pPr>
        <w:pStyle w:val="5"/>
        <w:ind w:firstLine="400" w:firstLineChars="200"/>
        <w:rPr>
          <w:rFonts w:hint="default"/>
        </w:rPr>
      </w:pPr>
      <w:r>
        <w:rPr>
          <w:rFonts w:ascii="仿宋_GB2312" w:hAnsi="仿宋_GB2312" w:eastAsia="仿宋_GB2312" w:cs="仿宋_GB2312"/>
        </w:rPr>
        <w:t>采购包最高限价（元）:233067.00</w:t>
      </w:r>
    </w:p>
    <w:p w14:paraId="7384FE89">
      <w:pPr>
        <w:pStyle w:val="5"/>
        <w:ind w:firstLine="400" w:firstLineChars="200"/>
        <w:rPr>
          <w:rFonts w:hint="default"/>
        </w:rPr>
      </w:pPr>
      <w:r>
        <w:rPr>
          <w:rFonts w:ascii="仿宋_GB2312" w:hAnsi="仿宋_GB2312" w:eastAsia="仿宋_GB2312" w:cs="仿宋_GB2312"/>
        </w:rPr>
        <w:t>供应商报价不允许超过标的金额</w:t>
      </w:r>
    </w:p>
    <w:p w14:paraId="38DB5C69">
      <w:pPr>
        <w:pStyle w:val="5"/>
        <w:ind w:firstLine="400" w:firstLineChars="200"/>
        <w:rPr>
          <w:rFonts w:hint="default"/>
        </w:rPr>
      </w:pPr>
      <w:r>
        <w:rPr>
          <w:rFonts w:ascii="仿宋_GB2312" w:hAnsi="仿宋_GB2312" w:eastAsia="仿宋_GB2312" w:cs="仿宋_GB2312"/>
        </w:rPr>
        <w:t>（招单价的）供应商报价不允许超过标的单价</w:t>
      </w:r>
    </w:p>
    <w:tbl>
      <w:tblPr>
        <w:tblStyle w:val="2"/>
        <w:tblW w:w="500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1636"/>
        <w:gridCol w:w="653"/>
        <w:gridCol w:w="1116"/>
        <w:gridCol w:w="646"/>
        <w:gridCol w:w="825"/>
        <w:gridCol w:w="646"/>
        <w:gridCol w:w="646"/>
        <w:gridCol w:w="646"/>
        <w:gridCol w:w="646"/>
        <w:gridCol w:w="646"/>
      </w:tblGrid>
      <w:tr w14:paraId="105D4F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08" w:type="pct"/>
          </w:tcPr>
          <w:p w14:paraId="6B5EC81B">
            <w:pPr>
              <w:pStyle w:val="5"/>
              <w:rPr>
                <w:rFonts w:hint="default"/>
              </w:rPr>
            </w:pPr>
            <w:r>
              <w:rPr>
                <w:rFonts w:ascii="仿宋_GB2312" w:hAnsi="仿宋_GB2312" w:eastAsia="仿宋_GB2312" w:cs="仿宋_GB2312"/>
              </w:rPr>
              <w:t>序号</w:t>
            </w:r>
          </w:p>
        </w:tc>
        <w:tc>
          <w:tcPr>
            <w:tcW w:w="971" w:type="pct"/>
          </w:tcPr>
          <w:p w14:paraId="657D1756">
            <w:pPr>
              <w:pStyle w:val="5"/>
              <w:rPr>
                <w:rFonts w:hint="default"/>
              </w:rPr>
            </w:pPr>
            <w:r>
              <w:rPr>
                <w:rFonts w:ascii="仿宋_GB2312" w:hAnsi="仿宋_GB2312" w:eastAsia="仿宋_GB2312" w:cs="仿宋_GB2312"/>
              </w:rPr>
              <w:t>标的名称</w:t>
            </w:r>
          </w:p>
        </w:tc>
        <w:tc>
          <w:tcPr>
            <w:tcW w:w="395" w:type="pct"/>
          </w:tcPr>
          <w:p w14:paraId="613F75EE">
            <w:pPr>
              <w:pStyle w:val="5"/>
              <w:rPr>
                <w:rFonts w:hint="default"/>
              </w:rPr>
            </w:pPr>
            <w:r>
              <w:rPr>
                <w:rFonts w:ascii="仿宋_GB2312" w:hAnsi="仿宋_GB2312" w:eastAsia="仿宋_GB2312" w:cs="仿宋_GB2312"/>
              </w:rPr>
              <w:t>数量</w:t>
            </w:r>
          </w:p>
        </w:tc>
        <w:tc>
          <w:tcPr>
            <w:tcW w:w="589" w:type="pct"/>
          </w:tcPr>
          <w:p w14:paraId="7F114C93">
            <w:pPr>
              <w:pStyle w:val="5"/>
              <w:rPr>
                <w:rFonts w:hint="default"/>
              </w:rPr>
            </w:pPr>
            <w:r>
              <w:rPr>
                <w:rFonts w:ascii="仿宋_GB2312" w:hAnsi="仿宋_GB2312" w:eastAsia="仿宋_GB2312" w:cs="仿宋_GB2312"/>
              </w:rPr>
              <w:t>标的金额（元）</w:t>
            </w:r>
          </w:p>
        </w:tc>
        <w:tc>
          <w:tcPr>
            <w:tcW w:w="390" w:type="pct"/>
          </w:tcPr>
          <w:p w14:paraId="4A4A6603">
            <w:pPr>
              <w:pStyle w:val="5"/>
              <w:rPr>
                <w:rFonts w:hint="default"/>
              </w:rPr>
            </w:pPr>
            <w:r>
              <w:rPr>
                <w:rFonts w:ascii="仿宋_GB2312" w:hAnsi="仿宋_GB2312" w:eastAsia="仿宋_GB2312" w:cs="仿宋_GB2312"/>
              </w:rPr>
              <w:t>计量单位</w:t>
            </w:r>
          </w:p>
        </w:tc>
        <w:tc>
          <w:tcPr>
            <w:tcW w:w="495" w:type="pct"/>
          </w:tcPr>
          <w:p w14:paraId="304D8EC1">
            <w:pPr>
              <w:pStyle w:val="5"/>
              <w:rPr>
                <w:rFonts w:hint="default"/>
              </w:rPr>
            </w:pPr>
            <w:r>
              <w:rPr>
                <w:rFonts w:ascii="仿宋_GB2312" w:hAnsi="仿宋_GB2312" w:eastAsia="仿宋_GB2312" w:cs="仿宋_GB2312"/>
              </w:rPr>
              <w:t>所属行业</w:t>
            </w:r>
          </w:p>
        </w:tc>
        <w:tc>
          <w:tcPr>
            <w:tcW w:w="390" w:type="pct"/>
          </w:tcPr>
          <w:p w14:paraId="388C5BA7">
            <w:pPr>
              <w:pStyle w:val="5"/>
              <w:rPr>
                <w:rFonts w:hint="default"/>
              </w:rPr>
            </w:pPr>
            <w:r>
              <w:rPr>
                <w:rFonts w:ascii="仿宋_GB2312" w:hAnsi="仿宋_GB2312" w:eastAsia="仿宋_GB2312" w:cs="仿宋_GB2312"/>
              </w:rPr>
              <w:t>是否核心产品</w:t>
            </w:r>
          </w:p>
        </w:tc>
        <w:tc>
          <w:tcPr>
            <w:tcW w:w="390" w:type="pct"/>
          </w:tcPr>
          <w:p w14:paraId="250B8961">
            <w:pPr>
              <w:pStyle w:val="5"/>
              <w:rPr>
                <w:rFonts w:hint="default"/>
              </w:rPr>
            </w:pPr>
            <w:r>
              <w:rPr>
                <w:rFonts w:ascii="仿宋_GB2312" w:hAnsi="仿宋_GB2312" w:eastAsia="仿宋_GB2312" w:cs="仿宋_GB2312"/>
              </w:rPr>
              <w:t>是否允许进口产品</w:t>
            </w:r>
          </w:p>
        </w:tc>
        <w:tc>
          <w:tcPr>
            <w:tcW w:w="390" w:type="pct"/>
          </w:tcPr>
          <w:p w14:paraId="33ACF813">
            <w:pPr>
              <w:pStyle w:val="5"/>
              <w:rPr>
                <w:rFonts w:hint="default"/>
              </w:rPr>
            </w:pPr>
            <w:r>
              <w:rPr>
                <w:rFonts w:ascii="仿宋_GB2312" w:hAnsi="仿宋_GB2312" w:eastAsia="仿宋_GB2312" w:cs="仿宋_GB2312"/>
              </w:rPr>
              <w:t>是否属于节能产品</w:t>
            </w:r>
          </w:p>
        </w:tc>
        <w:tc>
          <w:tcPr>
            <w:tcW w:w="390" w:type="pct"/>
          </w:tcPr>
          <w:p w14:paraId="78405758">
            <w:pPr>
              <w:pStyle w:val="5"/>
              <w:rPr>
                <w:rFonts w:hint="default"/>
              </w:rPr>
            </w:pPr>
            <w:r>
              <w:rPr>
                <w:rFonts w:ascii="仿宋_GB2312" w:hAnsi="仿宋_GB2312" w:eastAsia="仿宋_GB2312" w:cs="仿宋_GB2312"/>
              </w:rPr>
              <w:t>是否属于环境标志产品</w:t>
            </w:r>
          </w:p>
        </w:tc>
        <w:tc>
          <w:tcPr>
            <w:tcW w:w="390" w:type="pct"/>
          </w:tcPr>
          <w:p w14:paraId="6E14AE2A">
            <w:pPr>
              <w:pStyle w:val="5"/>
              <w:rPr>
                <w:rFonts w:hint="default"/>
              </w:rPr>
            </w:pPr>
            <w:r>
              <w:rPr>
                <w:rFonts w:ascii="仿宋_GB2312" w:hAnsi="仿宋_GB2312" w:eastAsia="仿宋_GB2312" w:cs="仿宋_GB2312"/>
              </w:rPr>
              <w:t>是否实施本国产品政策</w:t>
            </w:r>
          </w:p>
        </w:tc>
      </w:tr>
      <w:tr w14:paraId="50EBB0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8" w:type="pct"/>
          </w:tcPr>
          <w:p w14:paraId="3CF02582">
            <w:pPr>
              <w:pStyle w:val="5"/>
              <w:rPr>
                <w:rFonts w:hint="default"/>
              </w:rPr>
            </w:pPr>
            <w:r>
              <w:rPr>
                <w:rFonts w:ascii="仿宋_GB2312" w:hAnsi="仿宋_GB2312" w:eastAsia="仿宋_GB2312" w:cs="仿宋_GB2312"/>
              </w:rPr>
              <w:t>1</w:t>
            </w:r>
          </w:p>
        </w:tc>
        <w:tc>
          <w:tcPr>
            <w:tcW w:w="971" w:type="pct"/>
          </w:tcPr>
          <w:p w14:paraId="6D7204E6">
            <w:pPr>
              <w:pStyle w:val="5"/>
              <w:rPr>
                <w:rFonts w:hint="default"/>
              </w:rPr>
            </w:pPr>
            <w:r>
              <w:rPr>
                <w:rFonts w:ascii="仿宋_GB2312" w:hAnsi="仿宋_GB2312" w:eastAsia="仿宋_GB2312" w:cs="仿宋_GB2312"/>
              </w:rPr>
              <w:t>市公共资源交易中心办公家具和设备搬运服务</w:t>
            </w:r>
          </w:p>
        </w:tc>
        <w:tc>
          <w:tcPr>
            <w:tcW w:w="395" w:type="pct"/>
          </w:tcPr>
          <w:p w14:paraId="7045E5DA">
            <w:pPr>
              <w:pStyle w:val="5"/>
              <w:jc w:val="right"/>
              <w:rPr>
                <w:rFonts w:hint="default"/>
              </w:rPr>
            </w:pPr>
            <w:r>
              <w:rPr>
                <w:rFonts w:ascii="仿宋_GB2312" w:hAnsi="仿宋_GB2312" w:eastAsia="仿宋_GB2312" w:cs="仿宋_GB2312"/>
              </w:rPr>
              <w:t>1.00</w:t>
            </w:r>
          </w:p>
        </w:tc>
        <w:tc>
          <w:tcPr>
            <w:tcW w:w="589" w:type="pct"/>
          </w:tcPr>
          <w:p w14:paraId="0475F183">
            <w:pPr>
              <w:pStyle w:val="5"/>
              <w:rPr>
                <w:rFonts w:hint="default"/>
              </w:rPr>
            </w:pPr>
            <w:r>
              <w:rPr>
                <w:rFonts w:ascii="仿宋_GB2312" w:hAnsi="仿宋_GB2312" w:eastAsia="仿宋_GB2312" w:cs="仿宋_GB2312"/>
              </w:rPr>
              <w:t>233067.00</w:t>
            </w:r>
          </w:p>
        </w:tc>
        <w:tc>
          <w:tcPr>
            <w:tcW w:w="390" w:type="pct"/>
          </w:tcPr>
          <w:p w14:paraId="13854754">
            <w:pPr>
              <w:pStyle w:val="5"/>
              <w:rPr>
                <w:rFonts w:hint="default"/>
              </w:rPr>
            </w:pPr>
            <w:r>
              <w:rPr>
                <w:rFonts w:ascii="仿宋_GB2312" w:hAnsi="仿宋_GB2312" w:eastAsia="仿宋_GB2312" w:cs="仿宋_GB2312"/>
              </w:rPr>
              <w:t>项</w:t>
            </w:r>
          </w:p>
        </w:tc>
        <w:tc>
          <w:tcPr>
            <w:tcW w:w="495" w:type="pct"/>
          </w:tcPr>
          <w:p w14:paraId="7EB4B216">
            <w:pPr>
              <w:pStyle w:val="5"/>
              <w:rPr>
                <w:rFonts w:hint="default"/>
              </w:rPr>
            </w:pPr>
            <w:r>
              <w:rPr>
                <w:rFonts w:ascii="仿宋_GB2312" w:hAnsi="仿宋_GB2312" w:eastAsia="仿宋_GB2312" w:cs="仿宋_GB2312"/>
              </w:rPr>
              <w:t>其他未列明行业</w:t>
            </w:r>
          </w:p>
        </w:tc>
        <w:tc>
          <w:tcPr>
            <w:tcW w:w="390" w:type="pct"/>
          </w:tcPr>
          <w:p w14:paraId="751B4A21">
            <w:pPr>
              <w:pStyle w:val="5"/>
              <w:rPr>
                <w:rFonts w:hint="default"/>
              </w:rPr>
            </w:pPr>
            <w:r>
              <w:rPr>
                <w:rFonts w:ascii="仿宋_GB2312" w:hAnsi="仿宋_GB2312" w:eastAsia="仿宋_GB2312" w:cs="仿宋_GB2312"/>
              </w:rPr>
              <w:t>否</w:t>
            </w:r>
          </w:p>
        </w:tc>
        <w:tc>
          <w:tcPr>
            <w:tcW w:w="390" w:type="pct"/>
          </w:tcPr>
          <w:p w14:paraId="293DCF2E">
            <w:pPr>
              <w:pStyle w:val="5"/>
              <w:rPr>
                <w:rFonts w:hint="default"/>
              </w:rPr>
            </w:pPr>
            <w:r>
              <w:rPr>
                <w:rFonts w:ascii="仿宋_GB2312" w:hAnsi="仿宋_GB2312" w:eastAsia="仿宋_GB2312" w:cs="仿宋_GB2312"/>
              </w:rPr>
              <w:t>否</w:t>
            </w:r>
          </w:p>
        </w:tc>
        <w:tc>
          <w:tcPr>
            <w:tcW w:w="390" w:type="pct"/>
          </w:tcPr>
          <w:p w14:paraId="4A39B6A7">
            <w:pPr>
              <w:pStyle w:val="5"/>
              <w:rPr>
                <w:rFonts w:hint="default"/>
              </w:rPr>
            </w:pPr>
            <w:r>
              <w:rPr>
                <w:rFonts w:ascii="仿宋_GB2312" w:hAnsi="仿宋_GB2312" w:eastAsia="仿宋_GB2312" w:cs="仿宋_GB2312"/>
              </w:rPr>
              <w:t>否</w:t>
            </w:r>
          </w:p>
        </w:tc>
        <w:tc>
          <w:tcPr>
            <w:tcW w:w="390" w:type="pct"/>
          </w:tcPr>
          <w:p w14:paraId="77A996ED">
            <w:pPr>
              <w:pStyle w:val="5"/>
              <w:rPr>
                <w:rFonts w:hint="default"/>
              </w:rPr>
            </w:pPr>
            <w:r>
              <w:rPr>
                <w:rFonts w:ascii="仿宋_GB2312" w:hAnsi="仿宋_GB2312" w:eastAsia="仿宋_GB2312" w:cs="仿宋_GB2312"/>
              </w:rPr>
              <w:t>否</w:t>
            </w:r>
          </w:p>
        </w:tc>
        <w:tc>
          <w:tcPr>
            <w:tcW w:w="390" w:type="pct"/>
          </w:tcPr>
          <w:p w14:paraId="529D24AF">
            <w:pPr>
              <w:pStyle w:val="5"/>
              <w:rPr>
                <w:rFonts w:hint="default"/>
              </w:rPr>
            </w:pPr>
            <w:r>
              <w:rPr>
                <w:rFonts w:ascii="仿宋_GB2312" w:hAnsi="仿宋_GB2312" w:eastAsia="仿宋_GB2312" w:cs="仿宋_GB2312"/>
              </w:rPr>
              <w:t>否</w:t>
            </w:r>
          </w:p>
        </w:tc>
      </w:tr>
    </w:tbl>
    <w:p w14:paraId="5C6A4444">
      <w:pPr>
        <w:pStyle w:val="5"/>
        <w:outlineLvl w:val="2"/>
        <w:rPr>
          <w:rFonts w:hint="default"/>
        </w:rPr>
      </w:pPr>
      <w:r>
        <w:rPr>
          <w:rFonts w:ascii="仿宋_GB2312" w:hAnsi="仿宋_GB2312" w:eastAsia="仿宋_GB2312" w:cs="仿宋_GB2312"/>
          <w:b/>
          <w:sz w:val="28"/>
        </w:rPr>
        <w:t>3.2.2服务要求</w:t>
      </w:r>
    </w:p>
    <w:p w14:paraId="2A18597F">
      <w:pPr>
        <w:pStyle w:val="5"/>
        <w:rPr>
          <w:rFonts w:hint="default"/>
        </w:rPr>
      </w:pPr>
      <w:r>
        <w:rPr>
          <w:rFonts w:ascii="仿宋_GB2312" w:hAnsi="仿宋_GB2312" w:eastAsia="仿宋_GB2312" w:cs="仿宋_GB2312"/>
        </w:rPr>
        <w:t>采购包1：</w:t>
      </w:r>
    </w:p>
    <w:p w14:paraId="677916B5">
      <w:pPr>
        <w:pStyle w:val="5"/>
        <w:rPr>
          <w:rFonts w:hint="default"/>
        </w:rPr>
      </w:pPr>
      <w:r>
        <w:rPr>
          <w:rFonts w:ascii="仿宋_GB2312" w:hAnsi="仿宋_GB2312" w:eastAsia="仿宋_GB2312" w:cs="仿宋_GB2312"/>
        </w:rPr>
        <w:t>标的名称：市公共资源交易中心办公家具和设备搬运服务</w:t>
      </w:r>
    </w:p>
    <w:tbl>
      <w:tblPr>
        <w:tblStyle w:val="2"/>
        <w:tblW w:w="500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0"/>
        <w:gridCol w:w="410"/>
        <w:gridCol w:w="7702"/>
      </w:tblGrid>
      <w:tr w14:paraId="44E125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8" w:type="pct"/>
          </w:tcPr>
          <w:p w14:paraId="13596F1E">
            <w:pPr>
              <w:pStyle w:val="5"/>
              <w:rPr>
                <w:rFonts w:hint="default"/>
              </w:rPr>
            </w:pPr>
            <w:r>
              <w:rPr>
                <w:rFonts w:ascii="仿宋_GB2312" w:hAnsi="仿宋_GB2312" w:eastAsia="仿宋_GB2312" w:cs="仿宋_GB2312"/>
              </w:rPr>
              <w:t>序号</w:t>
            </w:r>
          </w:p>
        </w:tc>
        <w:tc>
          <w:tcPr>
            <w:tcW w:w="392" w:type="pct"/>
          </w:tcPr>
          <w:p w14:paraId="51802043">
            <w:pPr>
              <w:pStyle w:val="5"/>
              <w:rPr>
                <w:rFonts w:hint="default"/>
              </w:rPr>
            </w:pPr>
            <w:r>
              <w:rPr>
                <w:rFonts w:ascii="仿宋_GB2312" w:hAnsi="仿宋_GB2312" w:eastAsia="仿宋_GB2312" w:cs="仿宋_GB2312"/>
              </w:rPr>
              <w:t>参数性质</w:t>
            </w:r>
          </w:p>
        </w:tc>
        <w:tc>
          <w:tcPr>
            <w:tcW w:w="4240" w:type="pct"/>
          </w:tcPr>
          <w:p w14:paraId="36BED757">
            <w:pPr>
              <w:pStyle w:val="5"/>
              <w:rPr>
                <w:rFonts w:hint="default"/>
              </w:rPr>
            </w:pPr>
            <w:r>
              <w:rPr>
                <w:rFonts w:ascii="仿宋_GB2312" w:hAnsi="仿宋_GB2312" w:eastAsia="仿宋_GB2312" w:cs="仿宋_GB2312"/>
              </w:rPr>
              <w:t>技术参数与性能指标</w:t>
            </w:r>
          </w:p>
        </w:tc>
      </w:tr>
      <w:tr w14:paraId="3772A2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8" w:type="pct"/>
          </w:tcPr>
          <w:p w14:paraId="3008B1C1">
            <w:pPr>
              <w:pStyle w:val="5"/>
              <w:rPr>
                <w:rFonts w:hint="default"/>
              </w:rPr>
            </w:pPr>
            <w:r>
              <w:rPr>
                <w:rFonts w:ascii="仿宋_GB2312" w:hAnsi="仿宋_GB2312" w:eastAsia="仿宋_GB2312" w:cs="仿宋_GB2312"/>
              </w:rPr>
              <w:t>1</w:t>
            </w:r>
          </w:p>
        </w:tc>
        <w:tc>
          <w:tcPr>
            <w:tcW w:w="392" w:type="pct"/>
          </w:tcPr>
          <w:p w14:paraId="4CD65D04"/>
        </w:tc>
        <w:tc>
          <w:tcPr>
            <w:tcW w:w="4240" w:type="pct"/>
          </w:tcPr>
          <w:p w14:paraId="19668FCB">
            <w:pPr>
              <w:pStyle w:val="5"/>
              <w:rPr>
                <w:rFonts w:hint="default" w:ascii="仿宋_GB2312" w:hAnsi="仿宋_GB2312" w:eastAsia="仿宋_GB2312" w:cs="仿宋_GB2312"/>
              </w:rPr>
            </w:pPr>
            <w:r>
              <w:rPr>
                <w:rFonts w:ascii="仿宋_GB2312" w:hAnsi="仿宋_GB2312" w:eastAsia="仿宋_GB2312" w:cs="仿宋_GB2312"/>
              </w:rPr>
              <w:t>一、项目概况</w:t>
            </w:r>
          </w:p>
          <w:p w14:paraId="76ED232B">
            <w:pPr>
              <w:pStyle w:val="5"/>
              <w:ind w:firstLine="400" w:firstLineChars="200"/>
              <w:rPr>
                <w:rFonts w:hint="default"/>
              </w:rPr>
            </w:pPr>
            <w:r>
              <w:rPr>
                <w:rFonts w:ascii="仿宋_GB2312" w:hAnsi="仿宋_GB2312" w:eastAsia="仿宋_GB2312" w:cs="仿宋_GB2312"/>
              </w:rPr>
              <w:t>市公共资源交易中心已于2026年9月1日搬迁至市级机关凤城九路办公区办公，新址办公家具及设施设备已由办公（业务）用房资产方统一配置。为充分盘活国有资产，经与市公共资源交易中心协商，计划将其原址办公家具及部分可用设施设备搬迁至市级行政事业单位实体公物仓统筹调剂。</w:t>
            </w:r>
          </w:p>
        </w:tc>
      </w:tr>
      <w:tr w14:paraId="67D03E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8" w:type="pct"/>
          </w:tcPr>
          <w:p w14:paraId="4035BAEC">
            <w:pPr>
              <w:pStyle w:val="5"/>
              <w:rPr>
                <w:rFonts w:hint="default"/>
              </w:rPr>
            </w:pPr>
            <w:r>
              <w:rPr>
                <w:rFonts w:ascii="仿宋_GB2312" w:hAnsi="仿宋_GB2312" w:eastAsia="仿宋_GB2312" w:cs="仿宋_GB2312"/>
              </w:rPr>
              <w:t>2</w:t>
            </w:r>
          </w:p>
        </w:tc>
        <w:tc>
          <w:tcPr>
            <w:tcW w:w="392" w:type="pct"/>
          </w:tcPr>
          <w:p w14:paraId="5DF087CA"/>
        </w:tc>
        <w:tc>
          <w:tcPr>
            <w:tcW w:w="4240" w:type="pct"/>
          </w:tcPr>
          <w:p w14:paraId="54849C5E">
            <w:pPr>
              <w:pStyle w:val="5"/>
              <w:rPr>
                <w:rFonts w:hint="default" w:ascii="仿宋_GB2312" w:hAnsi="仿宋_GB2312" w:eastAsia="仿宋_GB2312" w:cs="仿宋_GB2312"/>
              </w:rPr>
            </w:pPr>
            <w:r>
              <w:rPr>
                <w:rFonts w:ascii="仿宋_GB2312" w:hAnsi="仿宋_GB2312" w:eastAsia="仿宋_GB2312" w:cs="仿宋_GB2312"/>
              </w:rPr>
              <w:t>二、服务内容</w:t>
            </w:r>
          </w:p>
          <w:p w14:paraId="3AD1C2A8">
            <w:pPr>
              <w:pStyle w:val="5"/>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成交单位需满足以下服务要求：</w:t>
            </w:r>
          </w:p>
          <w:p w14:paraId="0E09597C">
            <w:pPr>
              <w:pStyle w:val="5"/>
              <w:rPr>
                <w:rFonts w:hint="default" w:ascii="仿宋_GB2312" w:hAnsi="仿宋_GB2312" w:eastAsia="仿宋_GB2312" w:cs="仿宋_GB2312"/>
                <w:lang w:eastAsia="zh-CN"/>
              </w:rPr>
            </w:pPr>
            <w:r>
              <w:rPr>
                <w:rFonts w:ascii="仿宋_GB2312" w:hAnsi="仿宋_GB2312" w:eastAsia="仿宋_GB2312" w:cs="仿宋_GB2312"/>
                <w:lang w:eastAsia="zh-CN"/>
              </w:rPr>
              <w:t>1、对交易中心原办公场地</w:t>
            </w:r>
            <w:r>
              <w:rPr>
                <w:rFonts w:ascii="仿宋_GB2312" w:hAnsi="仿宋_GB2312" w:eastAsia="仿宋_GB2312" w:cs="仿宋_GB2312"/>
                <w:highlight w:val="none"/>
                <w:lang w:eastAsia="zh-CN"/>
              </w:rPr>
              <w:t>(未央区文景北路16号白桦林国际B座、办公楼层</w:t>
            </w:r>
            <w:r>
              <w:rPr>
                <w:rFonts w:hint="eastAsia" w:ascii="仿宋_GB2312" w:hAnsi="仿宋_GB2312" w:eastAsia="仿宋_GB2312" w:cs="仿宋_GB2312"/>
                <w:highlight w:val="none"/>
                <w:lang w:val="en-US" w:eastAsia="zh-CN"/>
              </w:rPr>
              <w:t>1-11层</w:t>
            </w:r>
            <w:r>
              <w:rPr>
                <w:rFonts w:ascii="仿宋_GB2312" w:hAnsi="仿宋_GB2312" w:eastAsia="仿宋_GB2312" w:cs="仿宋_GB2312"/>
                <w:highlight w:val="none"/>
                <w:lang w:eastAsia="zh-CN"/>
              </w:rPr>
              <w:t>）</w:t>
            </w:r>
            <w:r>
              <w:rPr>
                <w:rFonts w:ascii="仿宋_GB2312" w:hAnsi="仿宋_GB2312" w:eastAsia="仿宋_GB2312" w:cs="仿宋_GB2312"/>
                <w:lang w:eastAsia="zh-CN"/>
              </w:rPr>
              <w:t>内办公家具和部分可用设施设备等资产进行分类打包、拆卸作业；</w:t>
            </w:r>
          </w:p>
          <w:p w14:paraId="0CC90540">
            <w:pPr>
              <w:pStyle w:val="5"/>
              <w:rPr>
                <w:rFonts w:hint="default" w:ascii="仿宋_GB2312" w:hAnsi="仿宋_GB2312" w:eastAsia="仿宋_GB2312" w:cs="仿宋_GB2312"/>
                <w:highlight w:val="none"/>
                <w:lang w:eastAsia="zh-CN"/>
              </w:rPr>
            </w:pPr>
            <w:r>
              <w:rPr>
                <w:rFonts w:ascii="仿宋_GB2312" w:hAnsi="仿宋_GB2312" w:eastAsia="仿宋_GB2312" w:cs="仿宋_GB2312"/>
                <w:lang w:eastAsia="zh-CN"/>
              </w:rPr>
              <w:t>2、将办公家具和设备等资产安全搬运至实体公物仓</w:t>
            </w:r>
            <w:r>
              <w:rPr>
                <w:rFonts w:hint="eastAsia" w:ascii="仿宋_GB2312" w:hAnsi="仿宋_GB2312" w:eastAsia="仿宋_GB2312" w:cs="仿宋_GB2312"/>
                <w:lang w:eastAsia="zh-CN"/>
              </w:rPr>
              <w:t>（未央区秦汉大道与建元路交叉口）</w:t>
            </w:r>
            <w:r>
              <w:rPr>
                <w:rFonts w:ascii="仿宋_GB2312" w:hAnsi="仿宋_GB2312" w:eastAsia="仿宋_GB2312" w:cs="仿宋_GB2312"/>
                <w:highlight w:val="none"/>
                <w:lang w:eastAsia="zh-CN"/>
              </w:rPr>
              <w:t>内指定地点</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lang w:eastAsia="zh-CN"/>
              </w:rPr>
              <w:t>仓储楼层</w:t>
            </w:r>
            <w:r>
              <w:rPr>
                <w:rFonts w:hint="eastAsia" w:ascii="仿宋_GB2312" w:hAnsi="仿宋_GB2312" w:eastAsia="仿宋_GB2312" w:cs="仿宋_GB2312"/>
                <w:highlight w:val="none"/>
                <w:lang w:val="en-US" w:eastAsia="zh-CN"/>
              </w:rPr>
              <w:t>1-2层</w:t>
            </w:r>
            <w:r>
              <w:rPr>
                <w:rFonts w:ascii="仿宋_GB2312" w:hAnsi="仿宋_GB2312" w:eastAsia="仿宋_GB2312" w:cs="仿宋_GB2312"/>
                <w:highlight w:val="none"/>
                <w:lang w:eastAsia="zh-CN"/>
              </w:rPr>
              <w:t>）；</w:t>
            </w:r>
          </w:p>
          <w:p w14:paraId="54BD7F0E">
            <w:pPr>
              <w:pStyle w:val="5"/>
              <w:rPr>
                <w:rFonts w:hint="default" w:ascii="仿宋_GB2312" w:hAnsi="仿宋_GB2312" w:eastAsia="仿宋_GB2312" w:cs="仿宋_GB2312"/>
                <w:highlight w:val="none"/>
                <w:lang w:eastAsia="zh-CN"/>
              </w:rPr>
            </w:pPr>
            <w:r>
              <w:rPr>
                <w:rFonts w:ascii="仿宋_GB2312" w:hAnsi="仿宋_GB2312" w:eastAsia="仿宋_GB2312" w:cs="仿宋_GB2312"/>
                <w:highlight w:val="none"/>
                <w:lang w:eastAsia="zh-CN"/>
              </w:rPr>
              <w:t>3、按照实体公物仓管理规范，对入仓办公家具和设备等资产进行分类编号、定点、整齐摆放规整；</w:t>
            </w:r>
          </w:p>
          <w:p w14:paraId="05B1AD3E">
            <w:pPr>
              <w:pStyle w:val="5"/>
              <w:rPr>
                <w:rFonts w:hint="default" w:ascii="仿宋_GB2312" w:hAnsi="仿宋_GB2312" w:eastAsia="仿宋_GB2312" w:cs="仿宋_GB2312"/>
                <w:highlight w:val="none"/>
                <w:lang w:eastAsia="zh-CN"/>
              </w:rPr>
            </w:pPr>
            <w:r>
              <w:rPr>
                <w:rFonts w:ascii="仿宋_GB2312" w:hAnsi="仿宋_GB2312" w:eastAsia="仿宋_GB2312" w:cs="仿宋_GB2312"/>
                <w:highlight w:val="none"/>
                <w:lang w:eastAsia="zh-CN"/>
              </w:rPr>
              <w:t>4、全面清理、清运搬运作业产生的废弃杂物、包装垃圾等搬运垃圾，确保原办公场地干净达标、顺利交接。</w:t>
            </w:r>
          </w:p>
          <w:p w14:paraId="34FF19CB">
            <w:pPr>
              <w:pStyle w:val="5"/>
              <w:rPr>
                <w:rFonts w:hint="default" w:ascii="仿宋_GB2312" w:hAnsi="仿宋_GB2312" w:eastAsia="仿宋_GB2312" w:cs="仿宋_GB2312"/>
                <w:highlight w:val="none"/>
                <w:lang w:eastAsia="zh-CN"/>
              </w:rPr>
            </w:pPr>
            <w:r>
              <w:rPr>
                <w:rFonts w:ascii="仿宋_GB2312" w:hAnsi="仿宋_GB2312" w:eastAsia="仿宋_GB2312" w:cs="仿宋_GB2312"/>
                <w:highlight w:val="none"/>
                <w:lang w:eastAsia="zh-CN"/>
              </w:rPr>
              <w:t>5、需要搬运的家具清单</w:t>
            </w:r>
          </w:p>
          <w:tbl>
            <w:tblPr>
              <w:tblStyle w:val="3"/>
              <w:tblW w:w="77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1529"/>
              <w:gridCol w:w="3857"/>
              <w:gridCol w:w="769"/>
              <w:gridCol w:w="850"/>
            </w:tblGrid>
            <w:tr w14:paraId="66847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14:paraId="642B2DD3">
                  <w:pPr>
                    <w:pStyle w:val="5"/>
                    <w:jc w:val="center"/>
                    <w:rPr>
                      <w:rFonts w:hint="default" w:ascii="仿宋_GB2312" w:hAnsi="仿宋_GB2312" w:eastAsia="仿宋_GB2312" w:cs="仿宋_GB2312"/>
                      <w:lang w:eastAsia="zh-CN"/>
                    </w:rPr>
                  </w:pPr>
                  <w:r>
                    <w:rPr>
                      <w:rFonts w:ascii="仿宋_GB2312" w:hAnsi="仿宋_GB2312" w:eastAsia="仿宋_GB2312" w:cs="仿宋_GB2312"/>
                      <w:lang w:eastAsia="zh-CN"/>
                    </w:rPr>
                    <w:t>序号</w:t>
                  </w:r>
                </w:p>
              </w:tc>
              <w:tc>
                <w:tcPr>
                  <w:tcW w:w="1529" w:type="dxa"/>
                </w:tcPr>
                <w:p w14:paraId="6789E8DE">
                  <w:pPr>
                    <w:pStyle w:val="5"/>
                    <w:jc w:val="center"/>
                    <w:rPr>
                      <w:rFonts w:hint="default" w:ascii="仿宋_GB2312" w:hAnsi="仿宋_GB2312" w:eastAsia="仿宋_GB2312" w:cs="仿宋_GB2312"/>
                      <w:lang w:eastAsia="zh-CN"/>
                    </w:rPr>
                  </w:pPr>
                  <w:r>
                    <w:rPr>
                      <w:rFonts w:ascii="仿宋_GB2312" w:hAnsi="仿宋_GB2312" w:eastAsia="仿宋_GB2312" w:cs="仿宋_GB2312"/>
                      <w:lang w:eastAsia="zh-CN"/>
                    </w:rPr>
                    <w:t>物品名称</w:t>
                  </w:r>
                </w:p>
              </w:tc>
              <w:tc>
                <w:tcPr>
                  <w:tcW w:w="3857" w:type="dxa"/>
                </w:tcPr>
                <w:p w14:paraId="30B78390">
                  <w:pPr>
                    <w:pStyle w:val="5"/>
                    <w:jc w:val="center"/>
                    <w:rPr>
                      <w:rFonts w:hint="default" w:ascii="仿宋_GB2312" w:hAnsi="仿宋_GB2312" w:eastAsia="仿宋_GB2312" w:cs="仿宋_GB2312"/>
                      <w:lang w:eastAsia="zh-CN"/>
                    </w:rPr>
                  </w:pPr>
                  <w:r>
                    <w:rPr>
                      <w:rFonts w:ascii="仿宋_GB2312" w:hAnsi="仿宋_GB2312" w:eastAsia="仿宋_GB2312" w:cs="仿宋_GB2312"/>
                      <w:lang w:eastAsia="zh-CN"/>
                    </w:rPr>
                    <w:t>现有状况（规格尺寸）</w:t>
                  </w:r>
                </w:p>
              </w:tc>
              <w:tc>
                <w:tcPr>
                  <w:tcW w:w="769" w:type="dxa"/>
                </w:tcPr>
                <w:p w14:paraId="0B3EE8E8">
                  <w:pPr>
                    <w:pStyle w:val="5"/>
                    <w:jc w:val="center"/>
                    <w:rPr>
                      <w:rFonts w:hint="default" w:ascii="仿宋_GB2312" w:hAnsi="仿宋_GB2312" w:eastAsia="仿宋_GB2312" w:cs="仿宋_GB2312"/>
                      <w:lang w:eastAsia="zh-CN"/>
                    </w:rPr>
                  </w:pPr>
                  <w:r>
                    <w:rPr>
                      <w:rFonts w:ascii="仿宋_GB2312" w:hAnsi="仿宋_GB2312" w:eastAsia="仿宋_GB2312" w:cs="仿宋_GB2312"/>
                      <w:lang w:eastAsia="zh-CN"/>
                    </w:rPr>
                    <w:t>单位</w:t>
                  </w:r>
                </w:p>
              </w:tc>
              <w:tc>
                <w:tcPr>
                  <w:tcW w:w="850" w:type="dxa"/>
                </w:tcPr>
                <w:p w14:paraId="0779CB99">
                  <w:pPr>
                    <w:pStyle w:val="5"/>
                    <w:jc w:val="center"/>
                    <w:rPr>
                      <w:rFonts w:hint="default" w:ascii="仿宋_GB2312" w:hAnsi="仿宋_GB2312" w:eastAsia="仿宋_GB2312" w:cs="仿宋_GB2312"/>
                      <w:lang w:eastAsia="zh-CN"/>
                    </w:rPr>
                  </w:pPr>
                  <w:r>
                    <w:rPr>
                      <w:rFonts w:ascii="仿宋_GB2312" w:hAnsi="仿宋_GB2312" w:eastAsia="仿宋_GB2312" w:cs="仿宋_GB2312"/>
                      <w:lang w:eastAsia="zh-CN"/>
                    </w:rPr>
                    <w:t>数量</w:t>
                  </w:r>
                </w:p>
              </w:tc>
            </w:tr>
            <w:tr w14:paraId="0E377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14:paraId="0231B0EC">
                  <w:pPr>
                    <w:pStyle w:val="5"/>
                    <w:jc w:val="center"/>
                    <w:rPr>
                      <w:rFonts w:hint="default" w:ascii="仿宋_GB2312" w:hAnsi="仿宋_GB2312" w:eastAsia="仿宋_GB2312" w:cs="仿宋_GB2312"/>
                      <w:lang w:eastAsia="zh-CN"/>
                    </w:rPr>
                  </w:pPr>
                  <w:r>
                    <w:rPr>
                      <w:rFonts w:ascii="仿宋_GB2312" w:hAnsi="仿宋_GB2312" w:eastAsia="仿宋_GB2312" w:cs="仿宋_GB2312"/>
                      <w:lang w:eastAsia="zh-CN"/>
                    </w:rPr>
                    <w:t>1</w:t>
                  </w:r>
                </w:p>
              </w:tc>
              <w:tc>
                <w:tcPr>
                  <w:tcW w:w="1529" w:type="dxa"/>
                </w:tcPr>
                <w:p w14:paraId="475D0A6D">
                  <w:pPr>
                    <w:pStyle w:val="5"/>
                    <w:jc w:val="center"/>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椅子</w:t>
                  </w:r>
                </w:p>
              </w:tc>
              <w:tc>
                <w:tcPr>
                  <w:tcW w:w="3857" w:type="dxa"/>
                </w:tcPr>
                <w:p w14:paraId="5765D662">
                  <w:pPr>
                    <w:pStyle w:val="5"/>
                    <w:jc w:val="center"/>
                    <w:rPr>
                      <w:rFonts w:hint="default" w:ascii="仿宋_GB2312" w:hAnsi="仿宋_GB2312" w:eastAsia="仿宋_GB2312" w:cs="仿宋_GB2312"/>
                      <w:lang w:eastAsia="zh-CN"/>
                    </w:rPr>
                  </w:pPr>
                  <w:r>
                    <w:rPr>
                      <w:rFonts w:hint="default" w:ascii="仿宋_GB2312" w:hAnsi="仿宋_GB2312" w:eastAsia="仿宋_GB2312" w:cs="仿宋_GB2312"/>
                      <w:lang w:eastAsia="zh-CN"/>
                    </w:rPr>
                    <w:t>黑皮扶手转</w:t>
                  </w:r>
                  <w:r>
                    <w:rPr>
                      <w:rFonts w:hint="eastAsia" w:ascii="仿宋_GB2312" w:hAnsi="仿宋_GB2312" w:eastAsia="仿宋_GB2312" w:cs="仿宋_GB2312"/>
                      <w:lang w:eastAsia="zh-CN"/>
                    </w:rPr>
                    <w:t>、黑皮木扶、网背扶手转等</w:t>
                  </w:r>
                </w:p>
              </w:tc>
              <w:tc>
                <w:tcPr>
                  <w:tcW w:w="769" w:type="dxa"/>
                </w:tcPr>
                <w:p w14:paraId="78DE55D3">
                  <w:pPr>
                    <w:pStyle w:val="5"/>
                    <w:jc w:val="center"/>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张</w:t>
                  </w:r>
                </w:p>
              </w:tc>
              <w:tc>
                <w:tcPr>
                  <w:tcW w:w="850" w:type="dxa"/>
                </w:tcPr>
                <w:p w14:paraId="048F72E5">
                  <w:pPr>
                    <w:pStyle w:val="5"/>
                    <w:jc w:val="center"/>
                    <w:rPr>
                      <w:rFonts w:hint="default" w:ascii="仿宋_GB2312" w:hAnsi="仿宋_GB2312" w:eastAsia="仿宋_GB2312" w:cs="仿宋_GB2312"/>
                      <w:lang w:eastAsia="zh-CN"/>
                    </w:rPr>
                  </w:pPr>
                  <w:r>
                    <w:rPr>
                      <w:rFonts w:hint="eastAsia" w:ascii="仿宋_GB2312" w:hAnsi="仿宋_GB2312" w:eastAsia="仿宋_GB2312" w:cs="仿宋_GB2312"/>
                      <w:lang w:val="en-US" w:eastAsia="zh-CN"/>
                    </w:rPr>
                    <w:t>3093</w:t>
                  </w:r>
                </w:p>
              </w:tc>
            </w:tr>
            <w:tr w14:paraId="7DACE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14:paraId="01B9CF7C">
                  <w:pPr>
                    <w:pStyle w:val="5"/>
                    <w:jc w:val="center"/>
                    <w:rPr>
                      <w:rFonts w:hint="default" w:ascii="仿宋_GB2312" w:hAnsi="仿宋_GB2312" w:eastAsia="仿宋_GB2312" w:cs="仿宋_GB2312"/>
                      <w:lang w:eastAsia="zh-CN"/>
                    </w:rPr>
                  </w:pPr>
                  <w:r>
                    <w:rPr>
                      <w:rFonts w:ascii="仿宋_GB2312" w:hAnsi="仿宋_GB2312" w:eastAsia="仿宋_GB2312" w:cs="仿宋_GB2312"/>
                      <w:lang w:eastAsia="zh-CN"/>
                    </w:rPr>
                    <w:t>2</w:t>
                  </w:r>
                </w:p>
              </w:tc>
              <w:tc>
                <w:tcPr>
                  <w:tcW w:w="1529" w:type="dxa"/>
                </w:tcPr>
                <w:p w14:paraId="50597394">
                  <w:pPr>
                    <w:pStyle w:val="5"/>
                    <w:jc w:val="center"/>
                    <w:rPr>
                      <w:rFonts w:hint="default" w:ascii="仿宋_GB2312" w:hAnsi="仿宋_GB2312" w:eastAsia="仿宋_GB2312" w:cs="仿宋_GB2312"/>
                      <w:lang w:eastAsia="zh-CN"/>
                    </w:rPr>
                  </w:pPr>
                  <w:r>
                    <w:rPr>
                      <w:rFonts w:hint="eastAsia" w:ascii="仿宋_GB2312" w:hAnsi="仿宋_GB2312" w:eastAsia="仿宋_GB2312" w:cs="仿宋_GB2312"/>
                      <w:lang w:eastAsia="zh-CN"/>
                    </w:rPr>
                    <w:t>桌子</w:t>
                  </w:r>
                </w:p>
              </w:tc>
              <w:tc>
                <w:tcPr>
                  <w:tcW w:w="3857" w:type="dxa"/>
                </w:tcPr>
                <w:p w14:paraId="12B3E311">
                  <w:pPr>
                    <w:pStyle w:val="5"/>
                    <w:jc w:val="center"/>
                    <w:rPr>
                      <w:rFonts w:hint="default" w:ascii="仿宋_GB2312" w:hAnsi="仿宋_GB2312" w:eastAsia="仿宋_GB2312" w:cs="仿宋_GB2312"/>
                      <w:lang w:eastAsia="zh-CN"/>
                    </w:rPr>
                  </w:pPr>
                  <w:r>
                    <w:rPr>
                      <w:rFonts w:hint="default" w:ascii="仿宋_GB2312" w:hAnsi="仿宋_GB2312" w:eastAsia="仿宋_GB2312" w:cs="仿宋_GB2312"/>
                      <w:lang w:eastAsia="zh-CN"/>
                    </w:rPr>
                    <w:t>7.2*2.6*0.75</w:t>
                  </w:r>
                  <w:r>
                    <w:rPr>
                      <w:rFonts w:hint="eastAsia" w:ascii="仿宋_GB2312" w:hAnsi="仿宋_GB2312" w:eastAsia="仿宋_GB2312" w:cs="仿宋_GB2312"/>
                      <w:lang w:eastAsia="zh-CN"/>
                    </w:rPr>
                    <w:t>、4.8*2.0*0.75等</w:t>
                  </w:r>
                </w:p>
              </w:tc>
              <w:tc>
                <w:tcPr>
                  <w:tcW w:w="769" w:type="dxa"/>
                </w:tcPr>
                <w:p w14:paraId="1A1AB5AE">
                  <w:pPr>
                    <w:pStyle w:val="5"/>
                    <w:jc w:val="center"/>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张</w:t>
                  </w:r>
                </w:p>
              </w:tc>
              <w:tc>
                <w:tcPr>
                  <w:tcW w:w="850" w:type="dxa"/>
                </w:tcPr>
                <w:p w14:paraId="0DB89806">
                  <w:pPr>
                    <w:pStyle w:val="5"/>
                    <w:jc w:val="center"/>
                    <w:rPr>
                      <w:rFonts w:hint="default" w:ascii="仿宋_GB2312" w:hAnsi="仿宋_GB2312" w:eastAsia="仿宋_GB2312" w:cs="仿宋_GB2312"/>
                      <w:lang w:eastAsia="zh-CN"/>
                    </w:rPr>
                  </w:pPr>
                  <w:r>
                    <w:rPr>
                      <w:rFonts w:hint="eastAsia" w:ascii="仿宋_GB2312" w:hAnsi="仿宋_GB2312" w:eastAsia="仿宋_GB2312" w:cs="仿宋_GB2312"/>
                      <w:lang w:val="en-US" w:eastAsia="zh-CN"/>
                    </w:rPr>
                    <w:t>844</w:t>
                  </w:r>
                </w:p>
              </w:tc>
            </w:tr>
            <w:tr w14:paraId="69390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14:paraId="6C2A3239">
                  <w:pPr>
                    <w:pStyle w:val="5"/>
                    <w:jc w:val="center"/>
                    <w:rPr>
                      <w:rFonts w:hint="default" w:ascii="仿宋_GB2312" w:hAnsi="仿宋_GB2312" w:eastAsia="仿宋_GB2312" w:cs="仿宋_GB2312"/>
                      <w:lang w:val="en-US" w:eastAsia="zh-CN"/>
                    </w:rPr>
                  </w:pPr>
                  <w:r>
                    <w:rPr>
                      <w:rFonts w:hint="default" w:ascii="仿宋_GB2312" w:hAnsi="仿宋_GB2312" w:eastAsia="仿宋_GB2312" w:cs="仿宋_GB2312"/>
                      <w:lang w:val="en-US" w:eastAsia="zh-CN"/>
                    </w:rPr>
                    <w:t>3</w:t>
                  </w:r>
                </w:p>
              </w:tc>
              <w:tc>
                <w:tcPr>
                  <w:tcW w:w="1529" w:type="dxa"/>
                </w:tcPr>
                <w:p w14:paraId="29D5AE51">
                  <w:pPr>
                    <w:pStyle w:val="5"/>
                    <w:jc w:val="center"/>
                    <w:rPr>
                      <w:rFonts w:hint="default" w:ascii="仿宋_GB2312" w:hAnsi="仿宋_GB2312" w:eastAsia="仿宋_GB2312" w:cs="仿宋_GB2312"/>
                      <w:lang w:eastAsia="zh-CN"/>
                    </w:rPr>
                  </w:pPr>
                  <w:r>
                    <w:rPr>
                      <w:rFonts w:hint="eastAsia" w:ascii="仿宋_GB2312" w:hAnsi="仿宋_GB2312" w:eastAsia="仿宋_GB2312" w:cs="仿宋_GB2312"/>
                      <w:lang w:eastAsia="zh-CN"/>
                    </w:rPr>
                    <w:t>柜子</w:t>
                  </w:r>
                </w:p>
              </w:tc>
              <w:tc>
                <w:tcPr>
                  <w:tcW w:w="3857" w:type="dxa"/>
                </w:tcPr>
                <w:p w14:paraId="058D2BC7">
                  <w:pPr>
                    <w:pStyle w:val="5"/>
                    <w:jc w:val="center"/>
                    <w:rPr>
                      <w:rFonts w:hint="default" w:ascii="仿宋_GB2312" w:hAnsi="仿宋_GB2312" w:eastAsia="仿宋_GB2312" w:cs="仿宋_GB2312"/>
                      <w:lang w:eastAsia="zh-CN"/>
                    </w:rPr>
                  </w:pPr>
                  <w:r>
                    <w:rPr>
                      <w:rFonts w:hint="default" w:ascii="仿宋_GB2312" w:hAnsi="仿宋_GB2312" w:eastAsia="仿宋_GB2312" w:cs="仿宋_GB2312"/>
                      <w:lang w:eastAsia="zh-CN"/>
                    </w:rPr>
                    <w:t>2*0.9</w:t>
                  </w:r>
                  <w:r>
                    <w:rPr>
                      <w:rFonts w:hint="eastAsia" w:ascii="仿宋_GB2312" w:hAnsi="仿宋_GB2312" w:eastAsia="仿宋_GB2312" w:cs="仿宋_GB2312"/>
                      <w:lang w:eastAsia="zh-CN"/>
                    </w:rPr>
                    <w:t>、2.0*1.35等</w:t>
                  </w:r>
                </w:p>
              </w:tc>
              <w:tc>
                <w:tcPr>
                  <w:tcW w:w="769" w:type="dxa"/>
                </w:tcPr>
                <w:p w14:paraId="13D51650">
                  <w:pPr>
                    <w:pStyle w:val="5"/>
                    <w:jc w:val="center"/>
                    <w:rPr>
                      <w:rFonts w:hint="default" w:ascii="仿宋_GB2312" w:hAnsi="仿宋_GB2312" w:eastAsia="仿宋_GB2312" w:cs="仿宋_GB2312"/>
                      <w:lang w:eastAsia="zh-CN"/>
                    </w:rPr>
                  </w:pPr>
                  <w:r>
                    <w:rPr>
                      <w:rFonts w:hint="eastAsia" w:ascii="仿宋_GB2312" w:hAnsi="仿宋_GB2312" w:eastAsia="仿宋_GB2312" w:cs="仿宋_GB2312"/>
                      <w:lang w:eastAsia="zh-CN"/>
                    </w:rPr>
                    <w:t>个</w:t>
                  </w:r>
                </w:p>
              </w:tc>
              <w:tc>
                <w:tcPr>
                  <w:tcW w:w="850" w:type="dxa"/>
                </w:tcPr>
                <w:p w14:paraId="70C5A432">
                  <w:pPr>
                    <w:pStyle w:val="5"/>
                    <w:jc w:val="center"/>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501</w:t>
                  </w:r>
                </w:p>
              </w:tc>
            </w:tr>
            <w:tr w14:paraId="7C50B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14:paraId="4B110408">
                  <w:pPr>
                    <w:pStyle w:val="5"/>
                    <w:jc w:val="center"/>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4</w:t>
                  </w:r>
                </w:p>
              </w:tc>
              <w:tc>
                <w:tcPr>
                  <w:tcW w:w="1529" w:type="dxa"/>
                </w:tcPr>
                <w:p w14:paraId="5D839B8A">
                  <w:pPr>
                    <w:pStyle w:val="5"/>
                    <w:jc w:val="center"/>
                    <w:rPr>
                      <w:rFonts w:hint="default" w:ascii="仿宋_GB2312" w:hAnsi="仿宋_GB2312" w:eastAsia="仿宋_GB2312" w:cs="仿宋_GB2312"/>
                      <w:lang w:eastAsia="zh-CN"/>
                    </w:rPr>
                  </w:pPr>
                  <w:r>
                    <w:rPr>
                      <w:rFonts w:hint="eastAsia" w:ascii="仿宋_GB2312" w:hAnsi="仿宋_GB2312" w:eastAsia="仿宋_GB2312" w:cs="仿宋_GB2312"/>
                      <w:lang w:eastAsia="zh-CN"/>
                    </w:rPr>
                    <w:t>沙发</w:t>
                  </w:r>
                </w:p>
              </w:tc>
              <w:tc>
                <w:tcPr>
                  <w:tcW w:w="3857" w:type="dxa"/>
                </w:tcPr>
                <w:p w14:paraId="6AB49D1E">
                  <w:pPr>
                    <w:pStyle w:val="5"/>
                    <w:jc w:val="center"/>
                    <w:rPr>
                      <w:rFonts w:hint="default" w:ascii="仿宋_GB2312" w:hAnsi="仿宋_GB2312" w:eastAsia="仿宋_GB2312" w:cs="仿宋_GB2312"/>
                      <w:lang w:eastAsia="zh-CN"/>
                    </w:rPr>
                  </w:pPr>
                  <w:r>
                    <w:rPr>
                      <w:rFonts w:hint="default" w:ascii="仿宋_GB2312" w:hAnsi="仿宋_GB2312" w:eastAsia="仿宋_GB2312" w:cs="仿宋_GB2312"/>
                      <w:lang w:eastAsia="zh-CN"/>
                    </w:rPr>
                    <w:t>黑皮皮扶</w:t>
                  </w:r>
                  <w:r>
                    <w:rPr>
                      <w:rFonts w:hint="eastAsia" w:ascii="仿宋_GB2312" w:hAnsi="仿宋_GB2312" w:eastAsia="仿宋_GB2312" w:cs="仿宋_GB2312"/>
                      <w:lang w:eastAsia="zh-CN"/>
                    </w:rPr>
                    <w:t>、黑皮木扶等</w:t>
                  </w:r>
                </w:p>
              </w:tc>
              <w:tc>
                <w:tcPr>
                  <w:tcW w:w="769" w:type="dxa"/>
                </w:tcPr>
                <w:p w14:paraId="7E66B2EA">
                  <w:pPr>
                    <w:pStyle w:val="5"/>
                    <w:jc w:val="center"/>
                    <w:rPr>
                      <w:rFonts w:hint="default" w:ascii="仿宋_GB2312" w:hAnsi="仿宋_GB2312" w:eastAsia="仿宋_GB2312" w:cs="仿宋_GB2312"/>
                      <w:lang w:eastAsia="zh-CN"/>
                    </w:rPr>
                  </w:pPr>
                  <w:r>
                    <w:rPr>
                      <w:rFonts w:hint="eastAsia" w:ascii="仿宋_GB2312" w:hAnsi="仿宋_GB2312" w:eastAsia="仿宋_GB2312" w:cs="仿宋_GB2312"/>
                      <w:lang w:eastAsia="zh-CN"/>
                    </w:rPr>
                    <w:t>张</w:t>
                  </w:r>
                </w:p>
              </w:tc>
              <w:tc>
                <w:tcPr>
                  <w:tcW w:w="850" w:type="dxa"/>
                </w:tcPr>
                <w:p w14:paraId="1ECB02AB">
                  <w:pPr>
                    <w:pStyle w:val="5"/>
                    <w:jc w:val="center"/>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102</w:t>
                  </w:r>
                </w:p>
              </w:tc>
            </w:tr>
            <w:tr w14:paraId="5367F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14:paraId="546F3EA1">
                  <w:pPr>
                    <w:pStyle w:val="5"/>
                    <w:jc w:val="center"/>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5</w:t>
                  </w:r>
                </w:p>
              </w:tc>
              <w:tc>
                <w:tcPr>
                  <w:tcW w:w="1529" w:type="dxa"/>
                </w:tcPr>
                <w:p w14:paraId="75F0EFF9">
                  <w:pPr>
                    <w:pStyle w:val="5"/>
                    <w:jc w:val="center"/>
                    <w:rPr>
                      <w:rFonts w:hint="default" w:ascii="仿宋_GB2312" w:hAnsi="仿宋_GB2312" w:eastAsia="仿宋_GB2312" w:cs="仿宋_GB2312"/>
                      <w:lang w:eastAsia="zh-CN"/>
                    </w:rPr>
                  </w:pPr>
                  <w:r>
                    <w:rPr>
                      <w:rFonts w:hint="eastAsia" w:ascii="仿宋_GB2312" w:hAnsi="仿宋_GB2312" w:eastAsia="仿宋_GB2312" w:cs="仿宋_GB2312"/>
                      <w:lang w:eastAsia="zh-CN"/>
                    </w:rPr>
                    <w:t>茶几</w:t>
                  </w:r>
                </w:p>
              </w:tc>
              <w:tc>
                <w:tcPr>
                  <w:tcW w:w="3857" w:type="dxa"/>
                </w:tcPr>
                <w:p w14:paraId="1CDB52A1">
                  <w:pPr>
                    <w:pStyle w:val="5"/>
                    <w:jc w:val="center"/>
                    <w:rPr>
                      <w:rFonts w:hint="default" w:ascii="仿宋_GB2312" w:hAnsi="仿宋_GB2312" w:eastAsia="仿宋_GB2312" w:cs="仿宋_GB2312"/>
                      <w:lang w:eastAsia="zh-CN"/>
                    </w:rPr>
                  </w:pPr>
                  <w:r>
                    <w:rPr>
                      <w:rFonts w:hint="default" w:ascii="仿宋_GB2312" w:hAnsi="仿宋_GB2312" w:eastAsia="仿宋_GB2312" w:cs="仿宋_GB2312"/>
                      <w:lang w:eastAsia="zh-CN"/>
                    </w:rPr>
                    <w:t>1.2*0.6</w:t>
                  </w:r>
                  <w:r>
                    <w:rPr>
                      <w:rFonts w:hint="eastAsia" w:ascii="仿宋_GB2312" w:hAnsi="仿宋_GB2312" w:eastAsia="仿宋_GB2312" w:cs="仿宋_GB2312"/>
                      <w:lang w:eastAsia="zh-CN"/>
                    </w:rPr>
                    <w:t>、0.8*0.4、0.6*0.6等</w:t>
                  </w:r>
                </w:p>
              </w:tc>
              <w:tc>
                <w:tcPr>
                  <w:tcW w:w="769" w:type="dxa"/>
                </w:tcPr>
                <w:p w14:paraId="4149D2A4">
                  <w:pPr>
                    <w:pStyle w:val="5"/>
                    <w:jc w:val="center"/>
                    <w:rPr>
                      <w:rFonts w:hint="default" w:ascii="仿宋_GB2312" w:hAnsi="仿宋_GB2312" w:eastAsia="仿宋_GB2312" w:cs="仿宋_GB2312"/>
                      <w:lang w:eastAsia="zh-CN"/>
                    </w:rPr>
                  </w:pPr>
                  <w:r>
                    <w:rPr>
                      <w:rFonts w:hint="eastAsia" w:ascii="仿宋_GB2312" w:hAnsi="仿宋_GB2312" w:eastAsia="仿宋_GB2312" w:cs="仿宋_GB2312"/>
                      <w:lang w:eastAsia="zh-CN"/>
                    </w:rPr>
                    <w:t>个</w:t>
                  </w:r>
                </w:p>
              </w:tc>
              <w:tc>
                <w:tcPr>
                  <w:tcW w:w="850" w:type="dxa"/>
                </w:tcPr>
                <w:p w14:paraId="1C16E868">
                  <w:pPr>
                    <w:pStyle w:val="5"/>
                    <w:jc w:val="center"/>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68</w:t>
                  </w:r>
                </w:p>
              </w:tc>
            </w:tr>
          </w:tbl>
          <w:p w14:paraId="5CD445DA">
            <w:pPr>
              <w:pStyle w:val="5"/>
              <w:rPr>
                <w:rFonts w:hint="default" w:ascii="仿宋_GB2312" w:hAnsi="仿宋_GB2312" w:eastAsia="仿宋_GB2312" w:cs="仿宋_GB2312"/>
                <w:lang w:eastAsia="zh-CN"/>
              </w:rPr>
            </w:pPr>
          </w:p>
        </w:tc>
      </w:tr>
      <w:tr w14:paraId="278320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8" w:type="pct"/>
          </w:tcPr>
          <w:p w14:paraId="1859060C">
            <w:pPr>
              <w:pStyle w:val="5"/>
              <w:rPr>
                <w:rFonts w:hint="default"/>
              </w:rPr>
            </w:pPr>
            <w:r>
              <w:rPr>
                <w:rFonts w:ascii="仿宋_GB2312" w:hAnsi="仿宋_GB2312" w:eastAsia="仿宋_GB2312" w:cs="仿宋_GB2312"/>
              </w:rPr>
              <w:t>3</w:t>
            </w:r>
          </w:p>
        </w:tc>
        <w:tc>
          <w:tcPr>
            <w:tcW w:w="392" w:type="pct"/>
          </w:tcPr>
          <w:p w14:paraId="15D245AA"/>
        </w:tc>
        <w:tc>
          <w:tcPr>
            <w:tcW w:w="4240" w:type="pct"/>
          </w:tcPr>
          <w:p w14:paraId="57D1A6CB">
            <w:pPr>
              <w:pStyle w:val="5"/>
              <w:rPr>
                <w:rFonts w:hint="eastAsia" w:ascii="仿宋_GB2312" w:hAnsi="仿宋_GB2312" w:eastAsia="仿宋_GB2312" w:cs="仿宋_GB2312"/>
                <w:lang w:val="en-US" w:eastAsia="zh-CN"/>
              </w:rPr>
            </w:pPr>
            <w:r>
              <w:rPr>
                <w:rFonts w:ascii="仿宋_GB2312" w:hAnsi="仿宋_GB2312" w:eastAsia="仿宋_GB2312" w:cs="仿宋_GB2312"/>
              </w:rPr>
              <w:t>三、服务要求</w:t>
            </w:r>
            <w:bookmarkStart w:id="0" w:name="_GoBack"/>
            <w:bookmarkEnd w:id="0"/>
            <w:r>
              <w:br w:type="textWrapping"/>
            </w:r>
            <w:r>
              <w:rPr>
                <w:rFonts w:hint="eastAsia" w:ascii="仿宋_GB2312" w:hAnsi="仿宋_GB2312" w:eastAsia="仿宋_GB2312" w:cs="仿宋_GB2312"/>
                <w:lang w:val="en-US" w:eastAsia="zh-CN"/>
              </w:rPr>
              <w:t>（一）成交单位具备独立承担民事责任能力，拥有完善的服务团队，配备专职搬运人员、运输操作人员，需经验丰富、无不良从业记录；搬运、运输人员具备专业办公家具、设备的搬运、装卸、防护操作经验，操作规范。</w:t>
            </w:r>
          </w:p>
          <w:p w14:paraId="2BB5103F">
            <w:pPr>
              <w:pStyle w:val="5"/>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（二）成交单位进行搬运、运输作业时需严格遵守安全操作规范，杜绝安全事故，做好现场卫生清理及现场日常清洁维护，不影响原办公场地日常秩序。</w:t>
            </w:r>
          </w:p>
          <w:p w14:paraId="25982044">
            <w:pPr>
              <w:pStyle w:val="5"/>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（三）成交单位严禁擅自挪用、调换、损毁、丢失采购单位办公家具、设备，全程保障办公家具、设备安全完整。</w:t>
            </w:r>
          </w:p>
          <w:p w14:paraId="7A1871C5">
            <w:pPr>
              <w:pStyle w:val="5"/>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（四）成交单位需按采购单位相关要求对搬运入仓的办公家具、设备摆放规范、无安全隐患。</w:t>
            </w:r>
          </w:p>
          <w:p w14:paraId="55CAA8B1">
            <w:pPr>
              <w:pStyle w:val="5"/>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（五）成交单位需确保办公家具、设备搬运全流程无遗漏、无损坏、账物相符。</w:t>
            </w:r>
          </w:p>
          <w:p w14:paraId="691BB820">
            <w:pPr>
              <w:pStyle w:val="5"/>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（六）成交单位需</w:t>
            </w:r>
            <w:r>
              <w:rPr>
                <w:rFonts w:hint="eastAsia" w:ascii="仿宋_GB2312" w:hAnsi="仿宋_GB2312" w:eastAsia="仿宋_GB2312" w:cs="仿宋_GB2312"/>
                <w:lang w:val="en-US" w:eastAsia="en-US"/>
              </w:rPr>
              <w:t>确保服务人员遵守安全操作规范</w:t>
            </w:r>
            <w:r>
              <w:rPr>
                <w:rFonts w:hint="eastAsia" w:ascii="仿宋_GB2312" w:hAnsi="仿宋_GB2312" w:eastAsia="仿宋_GB2312" w:cs="仿宋_GB2312"/>
                <w:lang w:val="en-US" w:eastAsia="zh-CN"/>
              </w:rPr>
              <w:t>，如在搬运过程中造成车辆、人员伤害等事件与采购单位无关。</w:t>
            </w:r>
          </w:p>
          <w:p w14:paraId="085DC483">
            <w:pPr>
              <w:pStyle w:val="5"/>
              <w:ind w:firstLine="400" w:firstLineChars="200"/>
              <w:rPr>
                <w:rFonts w:hint="default"/>
              </w:rPr>
            </w:pPr>
            <w:r>
              <w:rPr>
                <w:rFonts w:hint="eastAsia" w:ascii="仿宋_GB2312" w:hAnsi="仿宋_GB2312" w:eastAsia="仿宋_GB2312" w:cs="仿宋_GB2312"/>
                <w:lang w:val="en-US" w:eastAsia="zh-CN"/>
              </w:rPr>
              <w:t>（七）因成交单位原因导致办公家具、设备损坏、丢失的，成交单位应按以下方式赔偿：可修复的，承担全额修复费用，无法修复或丢失的，按该办公家具、设备购买时的实际价值（以采购单位提供的购买凭证为准）赔偿，安装或维修过程中因成交单位操作不当造成办公家具、设备损坏的，参照上述标准赔偿。</w:t>
            </w:r>
          </w:p>
        </w:tc>
      </w:tr>
      <w:tr w14:paraId="0D0B88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8" w:type="pct"/>
          </w:tcPr>
          <w:p w14:paraId="099CAC34">
            <w:pPr>
              <w:pStyle w:val="5"/>
              <w:rPr>
                <w:rFonts w:hint="default" w:ascii="仿宋_GB2312" w:hAnsi="仿宋_GB2312" w:eastAsia="仿宋_GB2312" w:cs="仿宋_GB2312"/>
              </w:rPr>
            </w:pPr>
          </w:p>
        </w:tc>
        <w:tc>
          <w:tcPr>
            <w:tcW w:w="392" w:type="pct"/>
          </w:tcPr>
          <w:p w14:paraId="127D82CF">
            <w:pPr>
              <w:rPr>
                <w:highlight w:val="none"/>
              </w:rPr>
            </w:pPr>
          </w:p>
        </w:tc>
        <w:tc>
          <w:tcPr>
            <w:tcW w:w="4240" w:type="pct"/>
          </w:tcPr>
          <w:p w14:paraId="01AFFC62">
            <w:pPr>
              <w:pStyle w:val="5"/>
              <w:numPr>
                <w:ilvl w:val="0"/>
                <w:numId w:val="1"/>
              </w:numPr>
              <w:rPr>
                <w:rFonts w:hint="default" w:ascii="仿宋_GB2312" w:hAnsi="仿宋_GB2312" w:eastAsia="仿宋_GB2312" w:cs="仿宋_GB2312"/>
                <w:highlight w:val="none"/>
                <w:lang w:eastAsia="zh-CN"/>
              </w:rPr>
            </w:pPr>
            <w:r>
              <w:rPr>
                <w:rFonts w:ascii="仿宋_GB2312" w:hAnsi="仿宋_GB2312" w:eastAsia="仿宋_GB2312" w:cs="仿宋_GB2312"/>
                <w:highlight w:val="none"/>
                <w:lang w:eastAsia="zh-CN"/>
              </w:rPr>
              <w:t>其他要求</w:t>
            </w:r>
          </w:p>
          <w:p w14:paraId="512CD633">
            <w:pPr>
              <w:pStyle w:val="5"/>
              <w:rPr>
                <w:rFonts w:hint="default" w:ascii="仿宋_GB2312" w:hAnsi="仿宋_GB2312" w:eastAsia="仿宋_GB2312" w:cs="仿宋_GB2312"/>
                <w:highlight w:val="none"/>
                <w:lang w:eastAsia="zh-CN"/>
              </w:rPr>
            </w:pPr>
            <w:r>
              <w:rPr>
                <w:rFonts w:ascii="仿宋_GB2312" w:hAnsi="仿宋_GB2312" w:eastAsia="仿宋_GB2312" w:cs="仿宋_GB2312"/>
                <w:highlight w:val="none"/>
                <w:lang w:eastAsia="zh-CN"/>
              </w:rPr>
              <w:t>1、成交单位商签订合同后，严格按照采购需求及合同约定提供全流程服务，不得转包、分包服务项目。</w:t>
            </w:r>
          </w:p>
          <w:p w14:paraId="243F4212">
            <w:pPr>
              <w:pStyle w:val="5"/>
              <w:rPr>
                <w:rFonts w:hint="default" w:ascii="仿宋_GB2312" w:hAnsi="仿宋_GB2312" w:eastAsia="仿宋_GB2312" w:cs="仿宋_GB2312"/>
                <w:highlight w:val="none"/>
                <w:lang w:eastAsia="zh-CN"/>
              </w:rPr>
            </w:pPr>
            <w:r>
              <w:rPr>
                <w:rFonts w:ascii="仿宋_GB2312" w:hAnsi="仿宋_GB2312" w:eastAsia="仿宋_GB2312" w:cs="仿宋_GB2312"/>
                <w:highlight w:val="none"/>
                <w:lang w:eastAsia="zh-CN"/>
              </w:rPr>
              <w:t>2、服务期间产生的安全责任、人员责任、办公家具、设备的损毁责任，全部由成交单位自行承担。</w:t>
            </w:r>
          </w:p>
          <w:p w14:paraId="3B1B6CBE">
            <w:pPr>
              <w:pStyle w:val="5"/>
              <w:rPr>
                <w:rFonts w:hint="default" w:ascii="仿宋_GB2312" w:hAnsi="仿宋_GB2312" w:eastAsia="仿宋_GB2312" w:cs="仿宋_GB2312"/>
                <w:highlight w:val="none"/>
                <w:lang w:eastAsia="zh-CN"/>
              </w:rPr>
            </w:pPr>
            <w:r>
              <w:rPr>
                <w:rFonts w:ascii="仿宋_GB2312" w:hAnsi="仿宋_GB2312" w:eastAsia="仿宋_GB2312" w:cs="仿宋_GB2312"/>
                <w:highlight w:val="none"/>
                <w:lang w:eastAsia="zh-CN"/>
              </w:rPr>
              <w:t>3、成交单位承担搬运服务过程中的物品安全、人员安全、搬运人员保险、保密义务等责任。</w:t>
            </w:r>
          </w:p>
          <w:p w14:paraId="58294E9A">
            <w:pPr>
              <w:pStyle w:val="5"/>
              <w:rPr>
                <w:rFonts w:hint="default" w:ascii="仿宋_GB2312" w:hAnsi="仿宋_GB2312" w:eastAsia="仿宋_GB2312" w:cs="仿宋_GB2312"/>
                <w:highlight w:val="none"/>
                <w:lang w:eastAsia="zh-CN"/>
              </w:rPr>
            </w:pPr>
            <w:r>
              <w:rPr>
                <w:rFonts w:ascii="仿宋_GB2312" w:hAnsi="仿宋_GB2312" w:eastAsia="仿宋_GB2312" w:cs="仿宋_GB2312"/>
                <w:highlight w:val="none"/>
                <w:lang w:eastAsia="zh-CN"/>
              </w:rPr>
              <w:t>4、成交单位需配合采购单位搬运期间日常监督、检查，及时整改服务问题。</w:t>
            </w:r>
          </w:p>
        </w:tc>
      </w:tr>
      <w:tr w14:paraId="54BCA1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8" w:type="pct"/>
          </w:tcPr>
          <w:p w14:paraId="3A89F4D1">
            <w:pPr>
              <w:pStyle w:val="5"/>
              <w:rPr>
                <w:rFonts w:hint="default" w:ascii="仿宋_GB2312" w:hAnsi="仿宋_GB2312" w:eastAsia="仿宋_GB2312" w:cs="仿宋_GB2312"/>
              </w:rPr>
            </w:pPr>
          </w:p>
        </w:tc>
        <w:tc>
          <w:tcPr>
            <w:tcW w:w="392" w:type="pct"/>
          </w:tcPr>
          <w:p w14:paraId="5981BB29">
            <w:pPr>
              <w:rPr>
                <w:highlight w:val="none"/>
              </w:rPr>
            </w:pPr>
          </w:p>
        </w:tc>
        <w:tc>
          <w:tcPr>
            <w:tcW w:w="4240" w:type="pct"/>
          </w:tcPr>
          <w:p w14:paraId="447B5E30">
            <w:pPr>
              <w:pStyle w:val="5"/>
              <w:numPr>
                <w:ilvl w:val="0"/>
                <w:numId w:val="1"/>
              </w:numPr>
              <w:rPr>
                <w:rFonts w:hint="default" w:ascii="仿宋_GB2312" w:hAnsi="仿宋_GB2312" w:eastAsia="仿宋_GB2312" w:cs="仿宋_GB2312"/>
                <w:highlight w:val="none"/>
                <w:lang w:eastAsia="zh-CN"/>
              </w:rPr>
            </w:pPr>
            <w:r>
              <w:rPr>
                <w:rFonts w:ascii="仿宋_GB2312" w:hAnsi="仿宋_GB2312" w:eastAsia="仿宋_GB2312" w:cs="仿宋_GB2312"/>
                <w:highlight w:val="none"/>
                <w:lang w:eastAsia="zh-CN"/>
              </w:rPr>
              <w:t>报价要求</w:t>
            </w:r>
          </w:p>
          <w:p w14:paraId="60F5E770">
            <w:pPr>
              <w:pStyle w:val="5"/>
              <w:rPr>
                <w:rFonts w:hint="default" w:ascii="仿宋_GB2312" w:hAnsi="仿宋_GB2312" w:eastAsia="仿宋_GB2312" w:cs="仿宋_GB2312"/>
                <w:highlight w:val="none"/>
                <w:lang w:eastAsia="zh-CN"/>
              </w:rPr>
            </w:pPr>
            <w:r>
              <w:rPr>
                <w:rFonts w:ascii="仿宋_GB2312" w:hAnsi="仿宋_GB2312" w:eastAsia="仿宋_GB2312" w:cs="仿宋_GB2312"/>
                <w:highlight w:val="none"/>
                <w:lang w:eastAsia="zh-CN"/>
              </w:rPr>
              <w:t>磋商报价包含旧物品的拆装、打包、搬运、运输、卸货、二次就位安装等过程所涉及到的服务总费用。</w:t>
            </w:r>
          </w:p>
        </w:tc>
      </w:tr>
    </w:tbl>
    <w:p w14:paraId="54AC7EB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2"/>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B5DFCFF"/>
    <w:multiLevelType w:val="singleLevel"/>
    <w:tmpl w:val="7B5DFCFF"/>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A3D6851"/>
    <w:rsid w:val="4A827E5A"/>
    <w:rsid w:val="7FF60C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2025-12-25T05:59:00Z</dcterms:created>
  <dc:creator>Administrator</dc:creator>
  <cp:lastModifiedBy>陕西中经招标有限公司</cp:lastModifiedBy>
  <dcterms:modified xsi:type="dcterms:W3CDTF">2026-10-16T06:42:27Z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C1CB02E5756241A09848EB0875311565_12</vt:lpwstr>
  </property>
  <property fmtid="{D5CDD505-2E9C-101B-9397-08002B2CF9AE}" pid="4" name="KSOTemplateDocerSaveRecord">
    <vt:lpwstr>eyJoZGlkIjoiOGI1NjUzZTFhYWM0NmYwYjE1NTBlNzgxOGI1YTIyMDMiLCJ1c2VySWQiOiIxODY5MTYyMTc0In0=</vt:lpwstr>
  </property>
</Properties>
</file>