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版本号：YXZB-2026-040620260507001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电子卷宗随案同步生成服务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YXZB-2026-0406</w:t>
      </w:r>
      <w:r>
        <w:br/>
      </w:r>
      <w:r>
        <w:br/>
      </w:r>
      <w:r>
        <w:br/>
      </w:r>
    </w:p>
    <w:p>
      <w:pPr>
        <w:pStyle w:val="null3"/>
        <w:jc w:val="center"/>
        <w:outlineLvl w:val="2"/>
      </w:pPr>
      <w:r>
        <w:rPr>
          <w:rFonts w:ascii="仿宋_GB2312" w:hAnsi="仿宋_GB2312" w:cs="仿宋_GB2312" w:eastAsia="仿宋_GB2312"/>
          <w:sz w:val="28"/>
          <w:b/>
        </w:rPr>
        <w:t>西安市灞桥区人民法院[157]</w:t>
      </w:r>
    </w:p>
    <w:p>
      <w:pPr>
        <w:pStyle w:val="null3"/>
        <w:jc w:val="center"/>
        <w:outlineLvl w:val="2"/>
      </w:pPr>
      <w:r>
        <w:rPr>
          <w:rFonts w:ascii="仿宋_GB2312" w:hAnsi="仿宋_GB2312" w:cs="仿宋_GB2312" w:eastAsia="仿宋_GB2312"/>
          <w:sz w:val="28"/>
          <w:b/>
        </w:rPr>
        <w:t>陕西玥鑫项目管理有限公司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陕西玥鑫项目管理有限公司</w:t>
      </w:r>
      <w:r>
        <w:rPr>
          <w:rFonts w:ascii="仿宋_GB2312" w:hAnsi="仿宋_GB2312" w:cs="仿宋_GB2312" w:eastAsia="仿宋_GB2312"/>
        </w:rPr>
        <w:t>（以下简称“代理机构”）受</w:t>
      </w:r>
      <w:r>
        <w:rPr>
          <w:rFonts w:ascii="仿宋_GB2312" w:hAnsi="仿宋_GB2312" w:cs="仿宋_GB2312" w:eastAsia="仿宋_GB2312"/>
        </w:rPr>
        <w:t>西安市灞桥区人民法院[157]</w:t>
      </w:r>
      <w:r>
        <w:rPr>
          <w:rFonts w:ascii="仿宋_GB2312" w:hAnsi="仿宋_GB2312" w:cs="仿宋_GB2312" w:eastAsia="仿宋_GB2312"/>
        </w:rPr>
        <w:t>委托，拟对</w:t>
      </w:r>
      <w:r>
        <w:rPr>
          <w:rFonts w:ascii="仿宋_GB2312" w:hAnsi="仿宋_GB2312" w:cs="仿宋_GB2312" w:eastAsia="仿宋_GB2312"/>
        </w:rPr>
        <w:t>电子卷宗随案同步生成服务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YXZB-2026-0406</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电子卷宗随案同步生成服务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推进全流程无纸化办案，实现电子卷宗随案同步生成，拟通过外包服务方式，配备20名专业人员，配套软硬件设备，完成纸质材料扫描、智能编目、归目挂载、质检装订等全流程工作，确保电子卷宗与纸质卷宗一致、随案生成、高效流转。</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采购包1（电子卷宗随案同步生成服务）：属于专门面向中小企业采购。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1、营业执照等主体资格证明文件：提供统一社会信用代码的营业执照或其他组织经营的合法凭证或自然人的提供身份证明文件。</w:t>
      </w:r>
    </w:p>
    <w:p>
      <w:pPr>
        <w:pStyle w:val="null3"/>
      </w:pPr>
      <w:r>
        <w:rPr>
          <w:rFonts w:ascii="仿宋_GB2312" w:hAnsi="仿宋_GB2312" w:cs="仿宋_GB2312" w:eastAsia="仿宋_GB2312"/>
        </w:rPr>
        <w:t>2、财务状况报告：供应商需提供具有财务审计资质单位出具的2024年度或2025年度财务报告或开标前六个月内其基 本账户银行出具的资信证明或财政部门认可的 政府采购专业担保机构出具的担保函，以上形式的证明资料提供任何一种即可。</w:t>
      </w:r>
    </w:p>
    <w:p>
      <w:pPr>
        <w:pStyle w:val="null3"/>
      </w:pPr>
      <w:r>
        <w:rPr>
          <w:rFonts w:ascii="仿宋_GB2312" w:hAnsi="仿宋_GB2312" w:cs="仿宋_GB2312" w:eastAsia="仿宋_GB2312"/>
        </w:rPr>
        <w:t>3、税收缴纳证明：提供已缴纳的2025年10月1日以来至少一个月的纳税证明或完税证明，纳税证明或完税证明上应有代收机构或税务机关的公章或业务专用 章。依法免税的投标人应提供相关文件证明。</w:t>
      </w:r>
    </w:p>
    <w:p>
      <w:pPr>
        <w:pStyle w:val="null3"/>
      </w:pPr>
      <w:r>
        <w:rPr>
          <w:rFonts w:ascii="仿宋_GB2312" w:hAnsi="仿宋_GB2312" w:cs="仿宋_GB2312" w:eastAsia="仿宋_GB2312"/>
        </w:rPr>
        <w:t>4、社保缴纳证明：提供已缴纳的2025年10月1日以来至少一个月 的社会保障资金缴存单据或社保机构开具的社会保险参 保缴费情况证明。成立时间至提交投标文件截止时间不足一个月或依法不需要缴纳 社会保障资金的投标人应提供相关文件证明。</w:t>
      </w:r>
    </w:p>
    <w:p>
      <w:pPr>
        <w:pStyle w:val="null3"/>
      </w:pPr>
      <w:r>
        <w:rPr>
          <w:rFonts w:ascii="仿宋_GB2312" w:hAnsi="仿宋_GB2312" w:cs="仿宋_GB2312" w:eastAsia="仿宋_GB2312"/>
        </w:rPr>
        <w:t>5、书面声明：1.出具履行合同所必需的设备和专业技术能力的书面声明； 2.出具参加本次政府采购活动的书面声明。</w:t>
      </w:r>
    </w:p>
    <w:p>
      <w:pPr>
        <w:pStyle w:val="null3"/>
      </w:pPr>
      <w:r>
        <w:rPr>
          <w:rFonts w:ascii="仿宋_GB2312" w:hAnsi="仿宋_GB2312" w:cs="仿宋_GB2312" w:eastAsia="仿宋_GB2312"/>
        </w:rPr>
        <w:t>6、信用记录：投标供应商不得被“信用中国”（www.creditch ina.gov.cn）列入重大税收违法失信主体；不得被“中国执行信息公开网”（http://zxgk.cour t.gov.cn/shixin/）列入失信被执行人名单；不得被“中国政府采购网”（www.ccgp.gov.cn） 列入政府采购严重违法失信行为记录名单。</w:t>
      </w:r>
    </w:p>
    <w:p>
      <w:pPr>
        <w:pStyle w:val="null3"/>
      </w:pPr>
      <w:r>
        <w:rPr>
          <w:rFonts w:ascii="仿宋_GB2312" w:hAnsi="仿宋_GB2312" w:cs="仿宋_GB2312" w:eastAsia="仿宋_GB2312"/>
        </w:rPr>
        <w:t>7、法定代表人授权委托书：法定代表人直接参加投标的须出具法定代表人身份证（须与营业执照上信息一致），法定代表人授权代表参加投标的须出具法定代表人授 权书及授权代表身份证。</w:t>
      </w:r>
    </w:p>
    <w:p>
      <w:pPr>
        <w:pStyle w:val="null3"/>
      </w:pPr>
      <w:r>
        <w:rPr>
          <w:rFonts w:ascii="仿宋_GB2312" w:hAnsi="仿宋_GB2312" w:cs="仿宋_GB2312" w:eastAsia="仿宋_GB2312"/>
        </w:rPr>
        <w:t>8、控股、管理关系：单位负责人为同一人或者存在控股、管理关系的不同单位，不得同时参加同一项目的投标。</w:t>
      </w:r>
    </w:p>
    <w:p>
      <w:pPr>
        <w:pStyle w:val="null3"/>
      </w:pPr>
      <w:r>
        <w:rPr>
          <w:rFonts w:ascii="仿宋_GB2312" w:hAnsi="仿宋_GB2312" w:cs="仿宋_GB2312" w:eastAsia="仿宋_GB2312"/>
        </w:rPr>
        <w:t>9、联合体投标及分包：本项目不接受联合体投标，不允许分包。</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西安市灞桥区人民法院[157]</w:t>
      </w:r>
    </w:p>
    <w:p>
      <w:pPr>
        <w:pStyle w:val="null3"/>
      </w:pPr>
      <w:r>
        <w:rPr>
          <w:rFonts w:ascii="仿宋_GB2312" w:hAnsi="仿宋_GB2312" w:cs="仿宋_GB2312" w:eastAsia="仿宋_GB2312"/>
        </w:rPr>
        <w:t xml:space="preserve"> 地址： </w:t>
      </w:r>
      <w:r>
        <w:rPr>
          <w:rFonts w:ascii="仿宋_GB2312" w:hAnsi="仿宋_GB2312" w:cs="仿宋_GB2312" w:eastAsia="仿宋_GB2312"/>
        </w:rPr>
        <w:t>灞桥区纺一路668号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710038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西安市灞桥区人民法院[157]经办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029-83533359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陕西玥鑫项目管理有限公司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西安市高新区泰维智链中心一期 B 座2层202室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陕西玥鑫项目管理有限公司经办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17389208679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采购包1：1,872,900.00元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代理服务费收费标准：1.招标代理服务费收取参考国家计委颁布的《招标代理服务收费管理暂行办法》（计价格[2002]1980号）和（发改办价格[2003]857号）文收费标准计取，2.单位名称：陕西玥鑫项目管理有限公司 开户银行：中国建设银行股份有限公司西安祥和居支行 银行账户：6105 0110 1948 00000615</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西安市灞桥区人民法院[157]</w:t>
      </w:r>
      <w:r>
        <w:rPr>
          <w:rFonts w:ascii="仿宋_GB2312" w:hAnsi="仿宋_GB2312" w:cs="仿宋_GB2312" w:eastAsia="仿宋_GB2312"/>
        </w:rPr>
        <w:t>和</w:t>
      </w:r>
      <w:r>
        <w:rPr>
          <w:rFonts w:ascii="仿宋_GB2312" w:hAnsi="仿宋_GB2312" w:cs="仿宋_GB2312" w:eastAsia="仿宋_GB2312"/>
        </w:rPr>
        <w:t>陕西玥鑫项目管理有限公司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西安市灞桥区人民法院[157]</w:t>
      </w:r>
      <w:r>
        <w:rPr>
          <w:rFonts w:ascii="仿宋_GB2312" w:hAnsi="仿宋_GB2312" w:cs="仿宋_GB2312" w:eastAsia="仿宋_GB2312"/>
        </w:rPr>
        <w:t>负责解释。除上述磋商文件内容，其他内容由</w:t>
      </w:r>
      <w:r>
        <w:rPr>
          <w:rFonts w:ascii="仿宋_GB2312" w:hAnsi="仿宋_GB2312" w:cs="仿宋_GB2312" w:eastAsia="仿宋_GB2312"/>
        </w:rPr>
        <w:t>陕西玥鑫项目管理有限公司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西安市灞桥区人民法院[157]</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陕西玥鑫项目管理有限公司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详见采购文件合同相关条款。</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陕西玥鑫项目管理有限公司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陕西玥鑫项目管理有限公司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陕西玥鑫项目管理有限公司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联系人：陕西玥鑫项目管理有限公司经办</w:t>
      </w:r>
    </w:p>
    <w:p>
      <w:pPr>
        <w:pStyle w:val="null3"/>
      </w:pPr>
      <w:r>
        <w:rPr>
          <w:rFonts w:ascii="仿宋_GB2312" w:hAnsi="仿宋_GB2312" w:cs="仿宋_GB2312" w:eastAsia="仿宋_GB2312"/>
        </w:rPr>
        <w:t>联系电话：17389208679</w:t>
      </w:r>
    </w:p>
    <w:p>
      <w:pPr>
        <w:pStyle w:val="null3"/>
      </w:pPr>
      <w:r>
        <w:rPr>
          <w:rFonts w:ascii="仿宋_GB2312" w:hAnsi="仿宋_GB2312" w:cs="仿宋_GB2312" w:eastAsia="仿宋_GB2312"/>
        </w:rPr>
        <w:t>地址：西安市高新区泰维智链中心一期 B 座2层202室</w:t>
      </w:r>
    </w:p>
    <w:p>
      <w:pPr>
        <w:pStyle w:val="null3"/>
      </w:pPr>
      <w:r>
        <w:rPr>
          <w:rFonts w:ascii="仿宋_GB2312" w:hAnsi="仿宋_GB2312" w:cs="仿宋_GB2312" w:eastAsia="仿宋_GB2312"/>
        </w:rPr>
        <w:t>邮编：710076</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推进全流程无纸化办案，实现电子卷宗随案同步生成，拟通过外包服务方式，配备20名专业人员，配套软硬件设备，完成纸质材料扫描、智能编目、归目挂载、质检装订等全流程工作，确保电子卷宗与纸质卷宗一致、随案生成、高效流转。</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1,872,900.00</w:t>
      </w:r>
    </w:p>
    <w:p>
      <w:pPr>
        <w:pStyle w:val="null3"/>
      </w:pPr>
      <w:r>
        <w:rPr>
          <w:rFonts w:ascii="仿宋_GB2312" w:hAnsi="仿宋_GB2312" w:cs="仿宋_GB2312" w:eastAsia="仿宋_GB2312"/>
        </w:rPr>
        <w:t>采购包最高限价（元）: 1,872,900.00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1,872,900.00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8"/>
                <w:b/>
              </w:rPr>
              <w:t>一、服务内容</w:t>
            </w:r>
          </w:p>
          <w:tbl>
            <w:tblPr>
              <w:tblInd w:type="dxa" w:w="120"/>
              <w:tblBorders>
                <w:top w:val="none" w:color="000000" w:sz="4"/>
                <w:left w:val="none" w:color="000000" w:sz="4"/>
                <w:bottom w:val="none" w:color="000000" w:sz="4"/>
                <w:right w:val="none" w:color="000000" w:sz="4"/>
                <w:insideH w:val="none"/>
                <w:insideV w:val="none"/>
              </w:tblBorders>
            </w:tblPr>
            <w:tblGrid>
              <w:gridCol w:w="212"/>
              <w:gridCol w:w="576"/>
              <w:gridCol w:w="1164"/>
              <w:gridCol w:w="302"/>
              <w:gridCol w:w="285"/>
            </w:tblGrid>
            <w:tr>
              <w:tc>
                <w:tcPr>
                  <w:tcW w:type="dxa" w:w="2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5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类别</w:t>
                  </w:r>
                </w:p>
              </w:tc>
              <w:tc>
                <w:tcPr>
                  <w:tcW w:type="dxa" w:w="11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标的物名称</w:t>
                  </w:r>
                </w:p>
              </w:tc>
              <w:tc>
                <w:tcPr>
                  <w:tcW w:type="dxa" w:w="3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单位</w:t>
                  </w:r>
                </w:p>
              </w:tc>
              <w:tc>
                <w:tcPr>
                  <w:tcW w:type="dxa" w:w="2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数量</w:t>
                  </w: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司法事务辅助综合服务</w:t>
                  </w:r>
                </w:p>
              </w:tc>
              <w:tc>
                <w:tcPr>
                  <w:tcW w:type="dxa" w:w="1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包含司法事务辅助人员服务、司法事务辅助服务、软硬件使用服务、培训服务。</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人/年</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w:t>
                  </w:r>
                </w:p>
              </w:tc>
            </w:tr>
            <w:tr>
              <w:tc>
                <w:tcPr>
                  <w:tcW w:type="dxa" w:w="21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57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司法事务辅助综合服务配套的软硬件设备服务</w:t>
                  </w:r>
                </w:p>
              </w:tc>
              <w:tc>
                <w:tcPr>
                  <w:tcW w:type="dxa" w:w="1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智能</w:t>
                  </w:r>
                  <w:r>
                    <w:rPr>
                      <w:rFonts w:ascii="仿宋_GB2312" w:hAnsi="仿宋_GB2312" w:cs="仿宋_GB2312" w:eastAsia="仿宋_GB2312"/>
                      <w:sz w:val="24"/>
                    </w:rPr>
                    <w:t>立案材料收转</w:t>
                  </w:r>
                  <w:r>
                    <w:rPr>
                      <w:rFonts w:ascii="仿宋_GB2312" w:hAnsi="仿宋_GB2312" w:cs="仿宋_GB2312" w:eastAsia="仿宋_GB2312"/>
                      <w:sz w:val="24"/>
                    </w:rPr>
                    <w:t>服务终端</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212"/>
                  <w:vMerge/>
                  <w:tcBorders>
                    <w:top w:val="none" w:color="000000" w:sz="4"/>
                    <w:left w:val="single" w:color="000000" w:sz="4"/>
                    <w:bottom w:val="single" w:color="000000" w:sz="4"/>
                    <w:right w:val="single" w:color="000000" w:sz="4"/>
                  </w:tcBorders>
                </w:tcPr>
                <w:p/>
              </w:tc>
              <w:tc>
                <w:tcPr>
                  <w:tcW w:type="dxa" w:w="576"/>
                  <w:vMerge/>
                  <w:tcBorders>
                    <w:top w:val="none" w:color="000000" w:sz="4"/>
                    <w:left w:val="none" w:color="000000" w:sz="4"/>
                    <w:bottom w:val="single" w:color="000000" w:sz="4"/>
                    <w:right w:val="single" w:color="000000" w:sz="4"/>
                  </w:tcBorders>
                </w:tcPr>
                <w:p/>
              </w:tc>
              <w:tc>
                <w:tcPr>
                  <w:tcW w:type="dxa" w:w="1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智能材料</w:t>
                  </w:r>
                  <w:r>
                    <w:rPr>
                      <w:rFonts w:ascii="仿宋_GB2312" w:hAnsi="仿宋_GB2312" w:cs="仿宋_GB2312" w:eastAsia="仿宋_GB2312"/>
                      <w:sz w:val="24"/>
                    </w:rPr>
                    <w:t>辅助系统</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bl>
          <w:p>
            <w:pPr>
              <w:pStyle w:val="null3"/>
              <w:jc w:val="both"/>
            </w:pPr>
            <w:r>
              <w:rPr>
                <w:rFonts w:ascii="仿宋_GB2312" w:hAnsi="仿宋_GB2312" w:cs="仿宋_GB2312" w:eastAsia="仿宋_GB2312"/>
                <w:sz w:val="28"/>
                <w:b/>
              </w:rPr>
              <w:t>二、</w:t>
            </w:r>
            <w:r>
              <w:rPr>
                <w:rFonts w:ascii="仿宋_GB2312" w:hAnsi="仿宋_GB2312" w:cs="仿宋_GB2312" w:eastAsia="仿宋_GB2312"/>
                <w:sz w:val="28"/>
                <w:b/>
              </w:rPr>
              <w:t>服务要求</w:t>
            </w:r>
          </w:p>
          <w:tbl>
            <w:tblPr>
              <w:tblInd w:type="dxa" w:w="120"/>
              <w:tblBorders>
                <w:top w:val="none" w:color="000000" w:sz="4"/>
                <w:left w:val="none" w:color="000000" w:sz="4"/>
                <w:bottom w:val="none" w:color="000000" w:sz="4"/>
                <w:right w:val="none" w:color="000000" w:sz="4"/>
                <w:insideH w:val="none"/>
                <w:insideV w:val="none"/>
              </w:tblBorders>
            </w:tblPr>
            <w:tblGrid>
              <w:gridCol w:w="216"/>
              <w:gridCol w:w="255"/>
              <w:gridCol w:w="449"/>
              <w:gridCol w:w="1626"/>
            </w:tblGrid>
            <w:tr>
              <w:tc>
                <w:tcPr>
                  <w:tcW w:type="dxa" w:w="2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2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类别</w:t>
                  </w:r>
                </w:p>
              </w:tc>
              <w:tc>
                <w:tcPr>
                  <w:tcW w:type="dxa" w:w="4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标的物名称</w:t>
                  </w:r>
                </w:p>
              </w:tc>
              <w:tc>
                <w:tcPr>
                  <w:tcW w:type="dxa" w:w="16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规格参数及相关要求</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司法事务辅助综合服务</w:t>
                  </w: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司法事务辅助综合服务</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1. 司法事务辅助综合服务</w:t>
                  </w:r>
                </w:p>
                <w:p>
                  <w:pPr>
                    <w:pStyle w:val="null3"/>
                  </w:pPr>
                  <w:r>
                    <w:rPr>
                      <w:rFonts w:ascii="仿宋_GB2312" w:hAnsi="仿宋_GB2312" w:cs="仿宋_GB2312" w:eastAsia="仿宋_GB2312"/>
                      <w:sz w:val="24"/>
                    </w:rPr>
                    <w:t>1.1司法事务辅助人员服务</w:t>
                  </w:r>
                </w:p>
                <w:p>
                  <w:pPr>
                    <w:pStyle w:val="null3"/>
                  </w:pPr>
                  <w:r>
                    <w:rPr>
                      <w:rFonts w:ascii="仿宋_GB2312" w:hAnsi="仿宋_GB2312" w:cs="仿宋_GB2312" w:eastAsia="仿宋_GB2312"/>
                      <w:sz w:val="24"/>
                    </w:rPr>
                    <w:t>现场配备20人提供司法事务辅助服务。</w:t>
                  </w:r>
                </w:p>
                <w:p>
                  <w:pPr>
                    <w:pStyle w:val="null3"/>
                  </w:pPr>
                  <w:r>
                    <w:rPr>
                      <w:rFonts w:ascii="仿宋_GB2312" w:hAnsi="仿宋_GB2312" w:cs="仿宋_GB2312" w:eastAsia="仿宋_GB2312"/>
                      <w:sz w:val="24"/>
                    </w:rPr>
                    <w:t>1.2司法事务辅助服务</w:t>
                  </w:r>
                </w:p>
                <w:p>
                  <w:pPr>
                    <w:pStyle w:val="null3"/>
                  </w:pPr>
                  <w:r>
                    <w:rPr>
                      <w:rFonts w:ascii="仿宋_GB2312" w:hAnsi="仿宋_GB2312" w:cs="仿宋_GB2312" w:eastAsia="仿宋_GB2312"/>
                      <w:sz w:val="24"/>
                    </w:rPr>
                    <w:t>1、电子卷宗随案生成服务</w:t>
                  </w:r>
                </w:p>
                <w:p>
                  <w:pPr>
                    <w:pStyle w:val="null3"/>
                  </w:pPr>
                  <w:r>
                    <w:rPr>
                      <w:rFonts w:ascii="仿宋_GB2312" w:hAnsi="仿宋_GB2312" w:cs="仿宋_GB2312" w:eastAsia="仿宋_GB2312"/>
                      <w:sz w:val="24"/>
                    </w:rPr>
                    <w:t>岗位职责：驻点人员对每一个案件卷宗材料(含立案、审理、执行各阶段)随收随扫，结案时纸质卷宗与电子卷宗同步生成，实现案件审理执行过程的全程留痕和科学管理。</w:t>
                  </w:r>
                </w:p>
                <w:p>
                  <w:pPr>
                    <w:pStyle w:val="null3"/>
                  </w:pPr>
                  <w:r>
                    <w:rPr>
                      <w:rFonts w:ascii="仿宋_GB2312" w:hAnsi="仿宋_GB2312" w:cs="仿宋_GB2312" w:eastAsia="仿宋_GB2312"/>
                      <w:sz w:val="24"/>
                    </w:rPr>
                    <w:t>（1）工作内容:</w:t>
                  </w:r>
                </w:p>
                <w:p>
                  <w:pPr>
                    <w:pStyle w:val="null3"/>
                  </w:pPr>
                  <w:r>
                    <w:rPr>
                      <w:rFonts w:ascii="仿宋_GB2312" w:hAnsi="仿宋_GB2312" w:cs="仿宋_GB2312" w:eastAsia="仿宋_GB2312"/>
                      <w:sz w:val="24"/>
                    </w:rPr>
                    <w:t>①接收、登记案件从立案阶段到归档阶段产生的相关材料；并随案同步生成可利用电子卷宗内容。</w:t>
                  </w:r>
                </w:p>
                <w:p>
                  <w:pPr>
                    <w:pStyle w:val="null3"/>
                  </w:pPr>
                  <w:r>
                    <w:rPr>
                      <w:rFonts w:ascii="仿宋_GB2312" w:hAnsi="仿宋_GB2312" w:cs="仿宋_GB2312" w:eastAsia="仿宋_GB2312"/>
                      <w:sz w:val="24"/>
                    </w:rPr>
                    <w:t>②提供纸质卷宗材料中间柜保管、借阅、归档全流程管理服务。</w:t>
                  </w:r>
                </w:p>
                <w:p>
                  <w:pPr>
                    <w:pStyle w:val="null3"/>
                  </w:pPr>
                  <w:r>
                    <w:rPr>
                      <w:rFonts w:ascii="仿宋_GB2312" w:hAnsi="仿宋_GB2312" w:cs="仿宋_GB2312" w:eastAsia="仿宋_GB2312"/>
                      <w:sz w:val="24"/>
                    </w:rPr>
                    <w:t>③提供结案后卷宗归档服务，核对、整理案件审判过程中产生的所有电子卷宗材料以及纸质卷宗材料。进行封面打印、卷宗装订后，归档交付档案室工作人员。</w:t>
                  </w:r>
                </w:p>
                <w:p>
                  <w:pPr>
                    <w:pStyle w:val="null3"/>
                  </w:pPr>
                  <w:r>
                    <w:rPr>
                      <w:rFonts w:ascii="仿宋_GB2312" w:hAnsi="仿宋_GB2312" w:cs="仿宋_GB2312" w:eastAsia="仿宋_GB2312"/>
                      <w:sz w:val="24"/>
                    </w:rPr>
                    <w:t>（2）工作要求:</w:t>
                  </w:r>
                </w:p>
                <w:p>
                  <w:pPr>
                    <w:pStyle w:val="null3"/>
                  </w:pPr>
                  <w:r>
                    <w:rPr>
                      <w:rFonts w:ascii="仿宋_GB2312" w:hAnsi="仿宋_GB2312" w:cs="仿宋_GB2312" w:eastAsia="仿宋_GB2312"/>
                      <w:sz w:val="24"/>
                    </w:rPr>
                    <w:t>①服务过程中需要保证纸质材料原件的完整性不得损坏、缺失。电子卷宗材料图像内容完整、清晰。</w:t>
                  </w:r>
                </w:p>
                <w:p>
                  <w:pPr>
                    <w:pStyle w:val="null3"/>
                  </w:pPr>
                  <w:r>
                    <w:rPr>
                      <w:rFonts w:ascii="仿宋_GB2312" w:hAnsi="仿宋_GB2312" w:cs="仿宋_GB2312" w:eastAsia="仿宋_GB2312"/>
                      <w:sz w:val="24"/>
                    </w:rPr>
                    <w:t>②材料交接必须进行严格的清点、登记，经手人签字，全过程留痕，便于追溯。</w:t>
                  </w:r>
                </w:p>
                <w:p>
                  <w:pPr>
                    <w:pStyle w:val="null3"/>
                  </w:pPr>
                  <w:r>
                    <w:rPr>
                      <w:rFonts w:ascii="仿宋_GB2312" w:hAnsi="仿宋_GB2312" w:cs="仿宋_GB2312" w:eastAsia="仿宋_GB2312"/>
                      <w:sz w:val="24"/>
                    </w:rPr>
                    <w:t>③需对接触到的材料内容严格保密，不得泄露。</w:t>
                  </w:r>
                </w:p>
                <w:p>
                  <w:pPr>
                    <w:pStyle w:val="null3"/>
                  </w:pPr>
                  <w:r>
                    <w:rPr>
                      <w:rFonts w:ascii="仿宋_GB2312" w:hAnsi="仿宋_GB2312" w:cs="仿宋_GB2312" w:eastAsia="仿宋_GB2312"/>
                      <w:sz w:val="24"/>
                    </w:rPr>
                    <w:t>（3）人员要求:</w:t>
                  </w:r>
                </w:p>
                <w:p>
                  <w:pPr>
                    <w:pStyle w:val="null3"/>
                  </w:pPr>
                  <w:r>
                    <w:rPr>
                      <w:rFonts w:ascii="仿宋_GB2312" w:hAnsi="仿宋_GB2312" w:cs="仿宋_GB2312" w:eastAsia="仿宋_GB2312"/>
                      <w:sz w:val="24"/>
                    </w:rPr>
                    <w:t>①辅助服务人员需熟悉保密法规与制度，遵守项目场所管理规定，具备严谨的工作态度。</w:t>
                  </w:r>
                </w:p>
                <w:p>
                  <w:pPr>
                    <w:pStyle w:val="null3"/>
                  </w:pPr>
                  <w:r>
                    <w:rPr>
                      <w:rFonts w:ascii="仿宋_GB2312" w:hAnsi="仿宋_GB2312" w:cs="仿宋_GB2312" w:eastAsia="仿宋_GB2312"/>
                      <w:sz w:val="24"/>
                    </w:rPr>
                    <w:t>②辅助服务人员需在项目开始前进行相关保密培训。</w:t>
                  </w:r>
                </w:p>
                <w:p>
                  <w:pPr>
                    <w:pStyle w:val="null3"/>
                  </w:pPr>
                  <w:r>
                    <w:rPr>
                      <w:rFonts w:ascii="仿宋_GB2312" w:hAnsi="仿宋_GB2312" w:cs="仿宋_GB2312" w:eastAsia="仿宋_GB2312"/>
                      <w:sz w:val="24"/>
                    </w:rPr>
                    <w:t>2、卷宗服务</w:t>
                  </w:r>
                </w:p>
                <w:p>
                  <w:pPr>
                    <w:pStyle w:val="null3"/>
                  </w:pPr>
                  <w:r>
                    <w:rPr>
                      <w:rFonts w:ascii="仿宋_GB2312" w:hAnsi="仿宋_GB2312" w:cs="仿宋_GB2312" w:eastAsia="仿宋_GB2312"/>
                      <w:sz w:val="24"/>
                    </w:rPr>
                    <w:t>（1）材料交接登记：提供对接收的纸质材料逐个进行交接登记，记录交接事项、人员对象、材料内容等；包括材料首次入库、过程补充、借阅与归还。</w:t>
                  </w:r>
                </w:p>
                <w:p>
                  <w:pPr>
                    <w:pStyle w:val="null3"/>
                  </w:pPr>
                  <w:r>
                    <w:rPr>
                      <w:rFonts w:ascii="仿宋_GB2312" w:hAnsi="仿宋_GB2312" w:cs="仿宋_GB2312" w:eastAsia="仿宋_GB2312"/>
                      <w:sz w:val="24"/>
                    </w:rPr>
                    <w:t>（2）材料在库保管：对案件办理过程中所涉及的纸质案卷进行统一保管，通过后台管理系统进行对应出库、入库的管理，提供包括但不限于【卷宗借阅】、【借阅催还】、【借阅归还】和【卷宗归档】服务。</w:t>
                  </w:r>
                </w:p>
                <w:p>
                  <w:pPr>
                    <w:pStyle w:val="null3"/>
                  </w:pPr>
                  <w:r>
                    <w:rPr>
                      <w:rFonts w:ascii="仿宋_GB2312" w:hAnsi="仿宋_GB2312" w:cs="仿宋_GB2312" w:eastAsia="仿宋_GB2312"/>
                      <w:sz w:val="24"/>
                    </w:rPr>
                    <w:t>（3）日常运维：负责对智能中间柜系统的软件和硬件突发事件的运维处理，如系统断电、网络通讯、库房数据运维等问题；同时提供阶段性数据（如在库、出库、操作流转等）的校验复核和对外提供管理数据的统计分析，确保系统数据的准确性与一致性。</w:t>
                  </w:r>
                </w:p>
                <w:p>
                  <w:pPr>
                    <w:pStyle w:val="null3"/>
                  </w:pPr>
                  <w:r>
                    <w:rPr>
                      <w:rFonts w:ascii="仿宋_GB2312" w:hAnsi="仿宋_GB2312" w:cs="仿宋_GB2312" w:eastAsia="仿宋_GB2312"/>
                      <w:sz w:val="24"/>
                    </w:rPr>
                    <w:t>1.3软硬件使用服务</w:t>
                  </w:r>
                </w:p>
                <w:p>
                  <w:pPr>
                    <w:pStyle w:val="null3"/>
                  </w:pPr>
                  <w:r>
                    <w:rPr>
                      <w:rFonts w:ascii="仿宋_GB2312" w:hAnsi="仿宋_GB2312" w:cs="仿宋_GB2312" w:eastAsia="仿宋_GB2312"/>
                      <w:sz w:val="24"/>
                    </w:rPr>
                    <w:t>1、定期巡查：相关硬件设施的维护检查，软件系统运行扫描与检测，如有安全性问题可通过升级服务，及时解决安全隐患；对巡检记录进行登记，并对巡检进行测评和提出相关的合理性建议。</w:t>
                  </w:r>
                </w:p>
                <w:p>
                  <w:pPr>
                    <w:pStyle w:val="null3"/>
                  </w:pPr>
                  <w:r>
                    <w:rPr>
                      <w:rFonts w:ascii="仿宋_GB2312" w:hAnsi="仿宋_GB2312" w:cs="仿宋_GB2312" w:eastAsia="仿宋_GB2312"/>
                      <w:sz w:val="24"/>
                    </w:rPr>
                    <w:t>2、设备硬件维修：可为用户提供硬件部品的备件更换和维修服务，快速解决使用过程出现的问题，做好应有的服务保障。</w:t>
                  </w:r>
                </w:p>
                <w:p>
                  <w:pPr>
                    <w:pStyle w:val="null3"/>
                  </w:pPr>
                  <w:r>
                    <w:rPr>
                      <w:rFonts w:ascii="仿宋_GB2312" w:hAnsi="仿宋_GB2312" w:cs="仿宋_GB2312" w:eastAsia="仿宋_GB2312"/>
                      <w:sz w:val="24"/>
                    </w:rPr>
                    <w:t>3、应急服务：如设备出现软硬件故障时，一般问题提供2小时内电话支持。难点、重点问题，如需现场排查的，提供2天内现场技术服务。</w:t>
                  </w:r>
                </w:p>
                <w:p>
                  <w:pPr>
                    <w:pStyle w:val="null3"/>
                  </w:pPr>
                  <w:r>
                    <w:rPr>
                      <w:rFonts w:ascii="仿宋_GB2312" w:hAnsi="仿宋_GB2312" w:cs="仿宋_GB2312" w:eastAsia="仿宋_GB2312"/>
                      <w:sz w:val="24"/>
                    </w:rPr>
                    <w:t>1.4培训服务</w:t>
                  </w:r>
                </w:p>
                <w:p>
                  <w:pPr>
                    <w:pStyle w:val="null3"/>
                  </w:pPr>
                  <w:r>
                    <w:rPr>
                      <w:rFonts w:ascii="仿宋_GB2312" w:hAnsi="仿宋_GB2312" w:cs="仿宋_GB2312" w:eastAsia="仿宋_GB2312"/>
                      <w:sz w:val="24"/>
                    </w:rPr>
                    <w:t>1、培训方案编制：需明确并编制适应本项目特点的培训方案。</w:t>
                  </w:r>
                </w:p>
                <w:p>
                  <w:pPr>
                    <w:pStyle w:val="null3"/>
                  </w:pPr>
                  <w:r>
                    <w:rPr>
                      <w:rFonts w:ascii="仿宋_GB2312" w:hAnsi="仿宋_GB2312" w:cs="仿宋_GB2312" w:eastAsia="仿宋_GB2312"/>
                      <w:sz w:val="24"/>
                    </w:rPr>
                    <w:t>2、对系统的基本知识、管理制度进行培训。</w:t>
                  </w:r>
                </w:p>
                <w:p>
                  <w:pPr>
                    <w:pStyle w:val="null3"/>
                  </w:pPr>
                  <w:r>
                    <w:rPr>
                      <w:rFonts w:ascii="仿宋_GB2312" w:hAnsi="仿宋_GB2312" w:cs="仿宋_GB2312" w:eastAsia="仿宋_GB2312"/>
                      <w:sz w:val="24"/>
                    </w:rPr>
                    <w:t>3、对系统中相关标准（主要部分）培训，如系统的概述、管理法律、法规等。</w:t>
                  </w:r>
                </w:p>
                <w:p>
                  <w:pPr>
                    <w:pStyle w:val="null3"/>
                  </w:pPr>
                  <w:r>
                    <w:rPr>
                      <w:rFonts w:ascii="仿宋_GB2312" w:hAnsi="仿宋_GB2312" w:cs="仿宋_GB2312" w:eastAsia="仿宋_GB2312"/>
                      <w:sz w:val="24"/>
                    </w:rPr>
                    <w:t>4、系统结构及原理：讲解系统及设备的构造与主要设备的操作与日常维护，对常见的故障进行分析和处理。</w:t>
                  </w:r>
                </w:p>
                <w:p>
                  <w:pPr>
                    <w:pStyle w:val="null3"/>
                  </w:pPr>
                  <w:r>
                    <w:rPr>
                      <w:rFonts w:ascii="仿宋_GB2312" w:hAnsi="仿宋_GB2312" w:cs="仿宋_GB2312" w:eastAsia="仿宋_GB2312"/>
                      <w:sz w:val="24"/>
                    </w:rPr>
                    <w:t>5、培训达成目标：能够拥有独立、熟练地进行系统平台软件操作与终端应用系统的操作使用、设备常见故障的排除和日常维护工作的能力，使得该系统能够得到正确的应用和良好的维护，保证整个平台系统可以得到安全可信、稳定的运行。</w:t>
                  </w:r>
                </w:p>
              </w:tc>
            </w:tr>
            <w:tr>
              <w:tc>
                <w:tcPr>
                  <w:tcW w:type="dxa" w:w="21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25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司法事务辅助综合服务配套的软硬件设备服务</w:t>
                  </w: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智能</w:t>
                  </w:r>
                  <w:r>
                    <w:rPr>
                      <w:rFonts w:ascii="仿宋_GB2312" w:hAnsi="仿宋_GB2312" w:cs="仿宋_GB2312" w:eastAsia="仿宋_GB2312"/>
                      <w:sz w:val="24"/>
                    </w:rPr>
                    <w:t>立案材料收转</w:t>
                  </w:r>
                  <w:r>
                    <w:rPr>
                      <w:rFonts w:ascii="仿宋_GB2312" w:hAnsi="仿宋_GB2312" w:cs="仿宋_GB2312" w:eastAsia="仿宋_GB2312"/>
                      <w:sz w:val="24"/>
                    </w:rPr>
                    <w:t>服务终端</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【配置要求】</w:t>
                  </w:r>
                </w:p>
                <w:p>
                  <w:pPr>
                    <w:pStyle w:val="null3"/>
                  </w:pPr>
                  <w:r>
                    <w:rPr>
                      <w:rFonts w:ascii="仿宋_GB2312" w:hAnsi="仿宋_GB2312" w:cs="仿宋_GB2312" w:eastAsia="仿宋_GB2312"/>
                      <w:sz w:val="24"/>
                    </w:rPr>
                    <w:t>1、功能主机：CPU：国产八核，内存≥8G；触控屏：尺寸≥13.3英寸，电容式触控，支持多点触控；分辨率：≥1920*1080；接口：至少包含1个RJ45千兆网口</w:t>
                  </w:r>
                </w:p>
                <w:p>
                  <w:pPr>
                    <w:pStyle w:val="null3"/>
                  </w:pPr>
                  <w:r>
                    <w:rPr>
                      <w:rFonts w:ascii="仿宋_GB2312" w:hAnsi="仿宋_GB2312" w:cs="仿宋_GB2312" w:eastAsia="仿宋_GB2312"/>
                      <w:sz w:val="24"/>
                    </w:rPr>
                    <w:t>2、AI算力模组：CPU：国产4核，内存≥4G；内置独立</w:t>
                  </w:r>
                  <w:r>
                    <w:rPr>
                      <w:rFonts w:ascii="仿宋_GB2312" w:hAnsi="仿宋_GB2312" w:cs="仿宋_GB2312" w:eastAsia="仿宋_GB2312"/>
                      <w:sz w:val="24"/>
                    </w:rPr>
                    <w:t>NPU，具有1TOPS AI算力</w:t>
                  </w:r>
                  <w:r>
                    <w:rPr>
                      <w:rFonts w:ascii="仿宋_GB2312" w:hAnsi="仿宋_GB2312" w:cs="仿宋_GB2312" w:eastAsia="仿宋_GB2312"/>
                      <w:sz w:val="24"/>
                    </w:rPr>
                    <w:t>；</w:t>
                  </w:r>
                </w:p>
                <w:p>
                  <w:pPr>
                    <w:pStyle w:val="null3"/>
                  </w:pPr>
                  <w:r>
                    <w:rPr>
                      <w:rFonts w:ascii="仿宋_GB2312" w:hAnsi="仿宋_GB2312" w:cs="仿宋_GB2312" w:eastAsia="仿宋_GB2312"/>
                      <w:sz w:val="24"/>
                    </w:rPr>
                    <w:t>3、采集组件：馈纸式；扫描速度：50ppm/100ipm；扫描幅面：最大支持A4幅面；扫描模式：支持单面、双面扫描模式</w:t>
                  </w:r>
                </w:p>
                <w:p>
                  <w:pPr>
                    <w:pStyle w:val="null3"/>
                  </w:pPr>
                  <w:r>
                    <w:rPr>
                      <w:rFonts w:ascii="仿宋_GB2312" w:hAnsi="仿宋_GB2312" w:cs="仿宋_GB2312" w:eastAsia="仿宋_GB2312"/>
                      <w:sz w:val="24"/>
                    </w:rPr>
                    <w:t>4、回执组件：打印方式：热敏行式打印；纸张类型:热敏纸/热敏标签纸；纸张宽度:20~58mm(可调节)；打印速度：≥100mm/s</w:t>
                  </w:r>
                </w:p>
                <w:p>
                  <w:pPr>
                    <w:pStyle w:val="null3"/>
                  </w:pPr>
                  <w:r>
                    <w:rPr>
                      <w:rFonts w:ascii="仿宋_GB2312" w:hAnsi="仿宋_GB2312" w:cs="仿宋_GB2312" w:eastAsia="仿宋_GB2312"/>
                      <w:sz w:val="24"/>
                    </w:rPr>
                    <w:t>5、读卡模组：接口方式：USB；读卡类别：二代身份证/ IC卡；读卡距离：0-3cm</w:t>
                  </w:r>
                </w:p>
                <w:p>
                  <w:pPr>
                    <w:pStyle w:val="null3"/>
                  </w:pPr>
                  <w:r>
                    <w:rPr>
                      <w:rFonts w:ascii="仿宋_GB2312" w:hAnsi="仿宋_GB2312" w:cs="仿宋_GB2312" w:eastAsia="仿宋_GB2312"/>
                      <w:sz w:val="24"/>
                    </w:rPr>
                    <w:t>6、摄像头：分辨率：≥1920*1080；帧率：≥30帧/秒 （1080P）；焦距：2cm-无穷远；接口支持：USB2.0及以上接口；电源：DC 5V</w:t>
                  </w:r>
                </w:p>
                <w:p>
                  <w:pPr>
                    <w:pStyle w:val="null3"/>
                  </w:pPr>
                  <w:r>
                    <w:rPr>
                      <w:rFonts w:ascii="仿宋_GB2312" w:hAnsi="仿宋_GB2312" w:cs="仿宋_GB2312" w:eastAsia="仿宋_GB2312"/>
                      <w:sz w:val="24"/>
                    </w:rPr>
                    <w:t>7、输入组件：配备紧凑型键盘</w:t>
                  </w:r>
                </w:p>
                <w:p>
                  <w:pPr>
                    <w:pStyle w:val="null3"/>
                  </w:pPr>
                  <w:r>
                    <w:rPr>
                      <w:rFonts w:ascii="仿宋_GB2312" w:hAnsi="仿宋_GB2312" w:cs="仿宋_GB2312" w:eastAsia="仿宋_GB2312"/>
                      <w:sz w:val="24"/>
                    </w:rPr>
                    <w:t>8、尺寸：≥433mmx392mmx398mm（长×宽×高）</w:t>
                  </w:r>
                </w:p>
                <w:p>
                  <w:pPr>
                    <w:pStyle w:val="null3"/>
                  </w:pPr>
                  <w:r>
                    <w:rPr>
                      <w:rFonts w:ascii="仿宋_GB2312" w:hAnsi="仿宋_GB2312" w:cs="仿宋_GB2312" w:eastAsia="仿宋_GB2312"/>
                      <w:sz w:val="24"/>
                      <w:b/>
                    </w:rPr>
                    <w:t>【功能要求】</w:t>
                  </w:r>
                </w:p>
                <w:p>
                  <w:pPr>
                    <w:pStyle w:val="null3"/>
                  </w:pPr>
                  <w:r>
                    <w:rPr>
                      <w:rFonts w:ascii="仿宋_GB2312" w:hAnsi="仿宋_GB2312" w:cs="仿宋_GB2312" w:eastAsia="仿宋_GB2312"/>
                      <w:sz w:val="24"/>
                    </w:rPr>
                    <w:t>（1）支持智能立案功能：根据标准化立案流程设定，采用分步式引导操作，支持当事人自主完成立案申请，简单易懂；</w:t>
                  </w:r>
                </w:p>
                <w:p>
                  <w:pPr>
                    <w:pStyle w:val="null3"/>
                  </w:pPr>
                  <w:r>
                    <w:rPr>
                      <w:rFonts w:ascii="仿宋_GB2312" w:hAnsi="仿宋_GB2312" w:cs="仿宋_GB2312" w:eastAsia="仿宋_GB2312"/>
                      <w:sz w:val="24"/>
                    </w:rPr>
                    <w:t>（2）支持高清扫描功能：可实现立案材料高清扫描，支持单面、双面扫描模式，扫描完成后可预览；</w:t>
                  </w:r>
                </w:p>
                <w:p>
                  <w:pPr>
                    <w:pStyle w:val="null3"/>
                  </w:pPr>
                  <w:r>
                    <w:rPr>
                      <w:rFonts w:ascii="仿宋_GB2312" w:hAnsi="仿宋_GB2312" w:cs="仿宋_GB2312" w:eastAsia="仿宋_GB2312"/>
                      <w:sz w:val="24"/>
                    </w:rPr>
                    <w:t>（3）支持电子签名功能：支持手机扫码登录，配合手机端完成电子签名操作，签名信息可同步保存至系统；</w:t>
                  </w:r>
                </w:p>
                <w:p>
                  <w:pPr>
                    <w:pStyle w:val="null3"/>
                  </w:pPr>
                  <w:r>
                    <w:rPr>
                      <w:rFonts w:ascii="仿宋_GB2312" w:hAnsi="仿宋_GB2312" w:cs="仿宋_GB2312" w:eastAsia="仿宋_GB2312"/>
                      <w:sz w:val="24"/>
                    </w:rPr>
                    <w:t>（4）支持智能识别上传功能：无需人工干预，按人民法院电子档案规范智能识别并分类管理电子材料，直接同步上传至人民法院在线服务网系统；</w:t>
                  </w:r>
                </w:p>
                <w:p>
                  <w:pPr>
                    <w:pStyle w:val="null3"/>
                  </w:pPr>
                  <w:r>
                    <w:rPr>
                      <w:rFonts w:ascii="仿宋_GB2312" w:hAnsi="仿宋_GB2312" w:cs="仿宋_GB2312" w:eastAsia="仿宋_GB2312"/>
                      <w:sz w:val="24"/>
                    </w:rPr>
                    <w:t>（5）支持历史立案功能：支持用户查看历史立案信息、查询审核情况，可按立案时间、案件类型、案件名称、进展阶段等条件筛选查询。</w:t>
                  </w:r>
                </w:p>
              </w:tc>
            </w:tr>
            <w:tr>
              <w:tc>
                <w:tcPr>
                  <w:tcW w:type="dxa" w:w="216"/>
                  <w:vMerge/>
                  <w:tcBorders>
                    <w:top w:val="none" w:color="000000" w:sz="4"/>
                    <w:left w:val="single" w:color="000000" w:sz="4"/>
                    <w:bottom w:val="single" w:color="000000" w:sz="4"/>
                    <w:right w:val="single" w:color="000000" w:sz="4"/>
                  </w:tcBorders>
                </w:tcPr>
                <w:p/>
              </w:tc>
              <w:tc>
                <w:tcPr>
                  <w:tcW w:type="dxa" w:w="255"/>
                  <w:vMerge/>
                  <w:tcBorders>
                    <w:top w:val="none" w:color="000000" w:sz="4"/>
                    <w:left w:val="none" w:color="000000" w:sz="4"/>
                    <w:bottom w:val="single" w:color="000000" w:sz="4"/>
                    <w:right w:val="single" w:color="000000" w:sz="4"/>
                  </w:tcBorders>
                </w:tc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智能材料</w:t>
                  </w:r>
                  <w:r>
                    <w:rPr>
                      <w:rFonts w:ascii="仿宋_GB2312" w:hAnsi="仿宋_GB2312" w:cs="仿宋_GB2312" w:eastAsia="仿宋_GB2312"/>
                      <w:sz w:val="24"/>
                    </w:rPr>
                    <w:t>辅助系统</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支持案件卷宗材料批量上传、智能识别归类、自动阅卷分析案情、用户指导意见标签式录入、个人知识库创建与引用等，辅助用户快速撰写相关</w:t>
                  </w:r>
                  <w:r>
                    <w:rPr>
                      <w:rFonts w:ascii="仿宋_GB2312" w:hAnsi="仿宋_GB2312" w:cs="仿宋_GB2312" w:eastAsia="仿宋_GB2312"/>
                      <w:sz w:val="24"/>
                    </w:rPr>
                    <w:t>材料</w:t>
                  </w:r>
                  <w:r>
                    <w:rPr>
                      <w:rFonts w:ascii="仿宋_GB2312" w:hAnsi="仿宋_GB2312" w:cs="仿宋_GB2312" w:eastAsia="仿宋_GB2312"/>
                      <w:sz w:val="24"/>
                    </w:rPr>
                    <w:t>。</w:t>
                  </w:r>
                </w:p>
                <w:p>
                  <w:pPr>
                    <w:pStyle w:val="null3"/>
                  </w:pPr>
                  <w:r>
                    <w:rPr>
                      <w:rFonts w:ascii="仿宋_GB2312" w:hAnsi="仿宋_GB2312" w:cs="仿宋_GB2312" w:eastAsia="仿宋_GB2312"/>
                      <w:sz w:val="24"/>
                    </w:rPr>
                    <w:t>（1）需具备单个/批量文件上传能力，支持word、pdf、txt等常见文件类型。</w:t>
                  </w:r>
                </w:p>
                <w:p>
                  <w:pPr>
                    <w:pStyle w:val="null3"/>
                  </w:pPr>
                  <w:r>
                    <w:rPr>
                      <w:rFonts w:ascii="仿宋_GB2312" w:hAnsi="仿宋_GB2312" w:cs="仿宋_GB2312" w:eastAsia="仿宋_GB2312"/>
                      <w:sz w:val="24"/>
                    </w:rPr>
                    <w:t>（2）具备需根据用户上传的案件卷宗材料，自动完成案情解析，并根据解析结果</w:t>
                  </w:r>
                  <w:r>
                    <w:rPr>
                      <w:rFonts w:ascii="仿宋_GB2312" w:hAnsi="仿宋_GB2312" w:cs="仿宋_GB2312" w:eastAsia="仿宋_GB2312"/>
                      <w:sz w:val="24"/>
                    </w:rPr>
                    <w:t>整理材料</w:t>
                  </w:r>
                  <w:r>
                    <w:rPr>
                      <w:rFonts w:ascii="仿宋_GB2312" w:hAnsi="仿宋_GB2312" w:cs="仿宋_GB2312" w:eastAsia="仿宋_GB2312"/>
                      <w:sz w:val="24"/>
                    </w:rPr>
                    <w:t>。</w:t>
                  </w:r>
                </w:p>
                <w:p>
                  <w:pPr>
                    <w:pStyle w:val="null3"/>
                  </w:pPr>
                  <w:r>
                    <w:rPr>
                      <w:rFonts w:ascii="仿宋_GB2312" w:hAnsi="仿宋_GB2312" w:cs="仿宋_GB2312" w:eastAsia="仿宋_GB2312"/>
                      <w:sz w:val="24"/>
                    </w:rPr>
                    <w:t>（3）需支持用户输入指导意见，用户可输入适用法条等指导意见，从而提高</w:t>
                  </w:r>
                  <w:r>
                    <w:rPr>
                      <w:rFonts w:ascii="仿宋_GB2312" w:hAnsi="仿宋_GB2312" w:cs="仿宋_GB2312" w:eastAsia="仿宋_GB2312"/>
                      <w:sz w:val="24"/>
                    </w:rPr>
                    <w:t>材料</w:t>
                  </w:r>
                  <w:r>
                    <w:rPr>
                      <w:rFonts w:ascii="仿宋_GB2312" w:hAnsi="仿宋_GB2312" w:cs="仿宋_GB2312" w:eastAsia="仿宋_GB2312"/>
                      <w:sz w:val="24"/>
                    </w:rPr>
                    <w:t>生成质量。</w:t>
                  </w:r>
                </w:p>
                <w:p>
                  <w:pPr>
                    <w:pStyle w:val="null3"/>
                  </w:pPr>
                  <w:r>
                    <w:rPr>
                      <w:rFonts w:ascii="仿宋_GB2312" w:hAnsi="仿宋_GB2312" w:cs="仿宋_GB2312" w:eastAsia="仿宋_GB2312"/>
                      <w:sz w:val="24"/>
                    </w:rPr>
                    <w:t>（4）需支持将</w:t>
                  </w:r>
                  <w:r>
                    <w:rPr>
                      <w:rFonts w:ascii="仿宋_GB2312" w:hAnsi="仿宋_GB2312" w:cs="仿宋_GB2312" w:eastAsia="仿宋_GB2312"/>
                      <w:sz w:val="24"/>
                    </w:rPr>
                    <w:t>材料</w:t>
                  </w:r>
                  <w:r>
                    <w:rPr>
                      <w:rFonts w:ascii="仿宋_GB2312" w:hAnsi="仿宋_GB2312" w:cs="仿宋_GB2312" w:eastAsia="仿宋_GB2312"/>
                      <w:sz w:val="24"/>
                    </w:rPr>
                    <w:t>初稿以word格</w:t>
                  </w:r>
                </w:p>
                <w:p>
                  <w:pPr>
                    <w:pStyle w:val="null3"/>
                  </w:pPr>
                  <w:r>
                    <w:rPr>
                      <w:rFonts w:ascii="仿宋_GB2312" w:hAnsi="仿宋_GB2312" w:cs="仿宋_GB2312" w:eastAsia="仿宋_GB2312"/>
                      <w:sz w:val="24"/>
                    </w:rPr>
                    <w:t>式下载至本地电脑，下载的</w:t>
                  </w:r>
                  <w:r>
                    <w:rPr>
                      <w:rFonts w:ascii="仿宋_GB2312" w:hAnsi="仿宋_GB2312" w:cs="仿宋_GB2312" w:eastAsia="仿宋_GB2312"/>
                      <w:sz w:val="24"/>
                    </w:rPr>
                    <w:t>材料</w:t>
                  </w:r>
                  <w:r>
                    <w:rPr>
                      <w:rFonts w:ascii="仿宋_GB2312" w:hAnsi="仿宋_GB2312" w:cs="仿宋_GB2312" w:eastAsia="仿宋_GB2312"/>
                      <w:sz w:val="24"/>
                    </w:rPr>
                    <w:t>需支持在末尾附相关法条具体内容。</w:t>
                  </w:r>
                </w:p>
                <w:p>
                  <w:pPr>
                    <w:pStyle w:val="null3"/>
                  </w:pP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）需提供历史会话功能，方便用户随时查看写作历史记录。</w:t>
                  </w:r>
                </w:p>
                <w:p>
                  <w:pPr>
                    <w:pStyle w:val="null3"/>
                  </w:pPr>
                </w:p>
              </w:tc>
            </w:tr>
          </w:tbl>
          <w:p>
            <w:pPr>
              <w:pStyle w:val="null3"/>
            </w:pP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详见3.2.2服务要求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详见3.2.2服务要求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1.进度要求 1、人员相关，合同签订后10日内人员全部到岗、培训合格、正式上岗； 2、服务期内全时段保障法院审判执行工作正常运转； 3、设备和软件系统相关，合同签订后20日内发货到甲方指定地址，30日内完成设备安装调试。 2.成果交付要求 提供“第三章 服务内容”清单所示全部内容。 1、司法事务辅助综合服务共20人，服务期限自合同签订之日起一年。 2、智能立案材料收转服务终端1台，提供设备安装调试、培训、售后服务。 3、智能材料辅助系统1套，提供系统安装、调试、培训、售后服务。</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详见采购文件合同相关条款。</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项目实施过程中，根据实施进度验收，验收由乙方提出书面申请报告，甲方签字确认进行结算</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详见采购文件合同相关条款。</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1.供应商最后报价时同步上传“最后分项报价表”至附件。 2.中标供应商在采购结果发布后3个工作日内向代理机构提交纸质版响应文件以便于存档，响应文件正本1份，副本1份，电子版文件2份（以U盘为载体，电子版内容包括Word版本、签字盖章扫描后的PDF版本响应文件）。纸质响应文件均须A4纸打印，分别各自装订成册并编制目录和页码并加盖鲜章。 3.线下递交响应文件地点：西安市高新区泰维智链中心一期 B 座2层202室 4.如招标文件中融资相关内容与新政策要求有出入，按照最新要求执行。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提供统一社会信用代码的营业执照或其他组织经营的合法凭证或自然人的提供身份证明文件。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供应商需提供具有财务审计资质单位出具的2024年度或2025年度财务报告或开标前六个月内其基 本账户银行出具的资信证明或财政部门认可的 政府采购专业担保机构出具的担保函，以上形式的证明资料提供任何一种即可。</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提供已缴纳的2025年10月1日以来至少一个月的纳税证明或完税证明，纳税证明或完税证明上应有代收机构或税务机关的公章或业务专用 章。依法免税的投标人应提供相关文件证明。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提供已缴纳的2025年10月1日以来至少一个月 的社会保障资金缴存单据或社保机构开具的社会保险参 保缴费情况证明。成立时间至提交投标文件截止时间不足一个月或依法不需要缴纳 社会保障资金的投标人应提供相关文件证明。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1.出具履行合同所必需的设备和专业技术能力的书面声明； 2.出具参加本次政府采购活动的书面声明。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投标供应商不得被“信用中国”（www.creditch ina.gov.cn）列入重大税收违法失信主体；不得被“中国执行信息公开网”（http://zxgk.cour t.gov.cn/shixin/）列入失信被执行人名单；不得被“中国政府采购网”（www.ccgp.gov.cn） 列入政府采购严重违法失信行为记录名单。</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法定代表人直接参加投标的须出具法定代表人身份证（须与营业执照上信息一致），法定代表人授权代表参加投标的须出具法定代表人授 权书及授权代表身份证。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单位负责人为同一人或者存在控股、管理关系的不同单位，不得同时参加同一项目的投标。</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联合体投标及分包</w:t>
            </w:r>
          </w:p>
        </w:tc>
        <w:tc>
          <w:tcPr>
            <w:tcW w:type="dxa" w:w="3322"/>
          </w:tcPr>
          <w:p>
            <w:pPr>
              <w:pStyle w:val="null3"/>
            </w:pPr>
            <w:r>
              <w:rPr>
                <w:rFonts w:ascii="仿宋_GB2312" w:hAnsi="仿宋_GB2312" w:cs="仿宋_GB2312" w:eastAsia="仿宋_GB2312"/>
              </w:rPr>
              <w:t>本项目不接受联合体投标，不允许分包。</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偏离表.docx 标的清单 报价表 响应函 首次分项报价表.docx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响应文件应按要求加盖公章或签字</w:t>
            </w:r>
          </w:p>
        </w:tc>
        <w:tc>
          <w:tcPr>
            <w:tcW w:type="dxa" w:w="1661"/>
          </w:tcPr>
          <w:p>
            <w:pPr>
              <w:pStyle w:val="null3"/>
            </w:pPr>
            <w:r>
              <w:rPr>
                <w:rFonts w:ascii="仿宋_GB2312" w:hAnsi="仿宋_GB2312" w:cs="仿宋_GB2312" w:eastAsia="仿宋_GB2312"/>
              </w:rPr>
              <w:t>投标方案.docx 业绩一览表.docx 中小企业声明函 偏离表.docx 报价表 首次分项报价表.docx 响应文件封面 最后分项报价表.docx 残疾人福利性单位声明函 标的清单 供应商应提交的相关资格证明材料..docx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投标报价不能超出采购预算</w:t>
            </w:r>
          </w:p>
        </w:tc>
        <w:tc>
          <w:tcPr>
            <w:tcW w:type="dxa" w:w="1661"/>
          </w:tcPr>
          <w:p>
            <w:pPr>
              <w:pStyle w:val="null3"/>
            </w:pPr>
            <w:r>
              <w:rPr>
                <w:rFonts w:ascii="仿宋_GB2312" w:hAnsi="仿宋_GB2312" w:cs="仿宋_GB2312" w:eastAsia="仿宋_GB2312"/>
              </w:rPr>
              <w:t>响应文件封面 中小企业声明函 残疾人福利性单位声明函 标的清单 报价表 监狱企业的证明文件 首次分项报价表.docx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响应文件有效期满足招标文件的要求</w:t>
            </w:r>
          </w:p>
        </w:tc>
        <w:tc>
          <w:tcPr>
            <w:tcW w:type="dxa" w:w="1661"/>
          </w:tcPr>
          <w:p>
            <w:pPr>
              <w:pStyle w:val="null3"/>
            </w:pPr>
            <w:r>
              <w:rPr>
                <w:rFonts w:ascii="仿宋_GB2312" w:hAnsi="仿宋_GB2312" w:cs="仿宋_GB2312" w:eastAsia="仿宋_GB2312"/>
              </w:rPr>
              <w:t>响应文件封面 标的清单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技术响应</w:t>
            </w:r>
          </w:p>
        </w:tc>
        <w:tc>
          <w:tcPr>
            <w:tcW w:type="dxa" w:w="3322"/>
          </w:tcPr>
          <w:p>
            <w:pPr>
              <w:pStyle w:val="null3"/>
            </w:pPr>
            <w:r>
              <w:rPr>
                <w:rFonts w:ascii="仿宋_GB2312" w:hAnsi="仿宋_GB2312" w:cs="仿宋_GB2312" w:eastAsia="仿宋_GB2312"/>
              </w:rPr>
              <w:t>满足服务期要求且服务方案能达到采购要求</w:t>
            </w:r>
          </w:p>
        </w:tc>
        <w:tc>
          <w:tcPr>
            <w:tcW w:type="dxa" w:w="1661"/>
          </w:tcPr>
          <w:p>
            <w:pPr>
              <w:pStyle w:val="null3"/>
            </w:pPr>
            <w:r>
              <w:rPr>
                <w:rFonts w:ascii="仿宋_GB2312" w:hAnsi="仿宋_GB2312" w:cs="仿宋_GB2312" w:eastAsia="仿宋_GB2312"/>
              </w:rPr>
              <w:t>响应文件封面 投标方案.docx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不得存在的情形</w:t>
            </w:r>
          </w:p>
        </w:tc>
        <w:tc>
          <w:tcPr>
            <w:tcW w:type="dxa" w:w="3322"/>
          </w:tcPr>
          <w:p>
            <w:pPr>
              <w:pStyle w:val="null3"/>
            </w:pPr>
            <w:r>
              <w:rPr>
                <w:rFonts w:ascii="仿宋_GB2312" w:hAnsi="仿宋_GB2312" w:cs="仿宋_GB2312" w:eastAsia="仿宋_GB2312"/>
              </w:rPr>
              <w:t>供应商无相关法律法规及招标文件规定的不得存在的情形</w:t>
            </w:r>
          </w:p>
        </w:tc>
        <w:tc>
          <w:tcPr>
            <w:tcW w:type="dxa" w:w="1661"/>
          </w:tcPr>
          <w:p>
            <w:pPr>
              <w:pStyle w:val="null3"/>
            </w:pPr>
            <w:r>
              <w:rPr>
                <w:rFonts w:ascii="仿宋_GB2312" w:hAnsi="仿宋_GB2312" w:cs="仿宋_GB2312" w:eastAsia="仿宋_GB2312"/>
              </w:rPr>
              <w:t>响应文件封面 投标方案.docx 业绩一览表.docx 中小企业声明函 残疾人福利性单位声明函 偏离表.docx 标的清单 报价表 供应商应提交的相关资格证明材料..docx 响应函 监狱企业的证明文件 首次分项报价表.docx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整体服务方案</w:t>
            </w:r>
          </w:p>
        </w:tc>
        <w:tc>
          <w:tcPr>
            <w:tcW w:type="dxa" w:w="2492"/>
          </w:tcPr>
          <w:p>
            <w:pPr>
              <w:pStyle w:val="null3"/>
            </w:pPr>
            <w:r>
              <w:rPr>
                <w:rFonts w:ascii="仿宋_GB2312" w:hAnsi="仿宋_GB2312" w:cs="仿宋_GB2312" w:eastAsia="仿宋_GB2312"/>
              </w:rPr>
              <w:t>根据投标人提供的整体服务方案进行评审，包含以下内容： (1)项目实施组织结构及分工明确（4分）； (2)服务流程科学合理、工期安排明确（5分）； (3)内部管理制度健全（财务、人事、保密等）（3分）； 方案完整、符合实际需求，具有针对性和可操作性（3分）。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偏离表.docx</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服务配套设备技术方案</w:t>
            </w:r>
          </w:p>
        </w:tc>
        <w:tc>
          <w:tcPr>
            <w:tcW w:type="dxa" w:w="2492"/>
          </w:tcPr>
          <w:p>
            <w:pPr>
              <w:pStyle w:val="null3"/>
            </w:pPr>
            <w:r>
              <w:rPr>
                <w:rFonts w:ascii="仿宋_GB2312" w:hAnsi="仿宋_GB2312" w:cs="仿宋_GB2312" w:eastAsia="仿宋_GB2312"/>
              </w:rPr>
              <w:t>主要评审设备配置的技术先进性、稳定性与完整性，包括但不限于： (1)硬件性能满足或优于招标参数（6分）； (2)系统功能设计合理，能支持核心功能（7分）； (3)软硬件整合度高，兼容性好，具备较强拓展能力（7分）；。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偏离表.docx</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服务配套设备实施方案</w:t>
            </w:r>
          </w:p>
        </w:tc>
        <w:tc>
          <w:tcPr>
            <w:tcW w:type="dxa" w:w="2492"/>
          </w:tcPr>
          <w:p>
            <w:pPr>
              <w:pStyle w:val="null3"/>
            </w:pPr>
            <w:r>
              <w:rPr>
                <w:rFonts w:ascii="仿宋_GB2312" w:hAnsi="仿宋_GB2312" w:cs="仿宋_GB2312" w:eastAsia="仿宋_GB2312"/>
              </w:rPr>
              <w:t>包括安装调试、项目管理与验收计划等内容，具体评分如下： (1)运输、安装、调试方案科学，流程清晰（5分）； (2)项目进度控制及交付计划合理（5分）； 质量控制与验收流程明确，责任落实清楚（5分）。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偏离表.docx</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项目人员培训方案</w:t>
            </w:r>
          </w:p>
        </w:tc>
        <w:tc>
          <w:tcPr>
            <w:tcW w:type="dxa" w:w="2492"/>
          </w:tcPr>
          <w:p>
            <w:pPr>
              <w:pStyle w:val="null3"/>
            </w:pPr>
            <w:r>
              <w:rPr>
                <w:rFonts w:ascii="仿宋_GB2312" w:hAnsi="仿宋_GB2312" w:cs="仿宋_GB2312" w:eastAsia="仿宋_GB2312"/>
              </w:rPr>
              <w:t>根据投标人提供的培训方案进行评审： (1)培训目标明确、内容全面（4分）； 培训方式科学，覆盖系统操作、故障排查等核心环节（4分）。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偏离表.docx</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评审售后保障能力，包括响应时限、维修措施、备件保障等： (1)服务体系完善，设有专属技术支持团队（4分）； (2)响应时间承诺明确，故障响应≤2小时得（4分） 维保内容清晰，提供备件支持、远程诊断、数据校验等服务（4分）。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偏离表.docx</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应急服务及异常处理方案</w:t>
            </w:r>
          </w:p>
        </w:tc>
        <w:tc>
          <w:tcPr>
            <w:tcW w:type="dxa" w:w="2492"/>
          </w:tcPr>
          <w:p>
            <w:pPr>
              <w:pStyle w:val="null3"/>
            </w:pPr>
            <w:r>
              <w:rPr>
                <w:rFonts w:ascii="仿宋_GB2312" w:hAnsi="仿宋_GB2312" w:cs="仿宋_GB2312" w:eastAsia="仿宋_GB2312"/>
              </w:rPr>
              <w:t>根据故障预案与突发事件响应方案评分： (1)常见故障处理方案（3分）； (2)系统异常应对机制（3分）； 用户提示、错误反馈机制设计合理（2分）。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偏离表.docx</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服务保障人员配置情况</w:t>
            </w:r>
          </w:p>
        </w:tc>
        <w:tc>
          <w:tcPr>
            <w:tcW w:type="dxa" w:w="2492"/>
          </w:tcPr>
          <w:p>
            <w:pPr>
              <w:pStyle w:val="null3"/>
            </w:pPr>
            <w:r>
              <w:rPr>
                <w:rFonts w:ascii="仿宋_GB2312" w:hAnsi="仿宋_GB2312" w:cs="仿宋_GB2312" w:eastAsia="仿宋_GB2312"/>
              </w:rPr>
              <w:t>(1)拟派本项目的项目经理具备2年以上同类项目管理经验（以类似业绩合同或投标供应商出具的委派函为准），并提供相关职称、学历等证书情况及本单位的社保缴纳证明。按完整性及相关性(4分)； （2）项目团队人员数量配备充足，满足服务要求。根据供应商拟派本项目的小组成员的配置情况表，及其小组成员相关职称、学历、工作经历、等证书，能高效、按时、高质量、安全完成项目，按完整性及相关性(4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偏离表.docx</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供应商需具有近三年（2023年4月1日至今）同类项目业绩，每提供一个计1分，满分4分。（投标文件中提供合同复印件加盖公章）。</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满足磋商文件要求且最终报价最低的供应商的价格为磋商基准价，其价格分为满分。其他供应商的价格分统一按照下列公式计算：磋商报价得分=（磋商基准价/最终磋商报价）×价格权值； 本项目专门面向中小企业采购、不再给予价格优惠。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详见附件：偏离表.docx</w:t>
      </w:r>
    </w:p>
    <w:p>
      <w:pPr>
        <w:pStyle w:val="null3"/>
        <w:ind w:firstLine="960"/>
      </w:pPr>
      <w:r>
        <w:rPr>
          <w:rFonts w:ascii="仿宋_GB2312" w:hAnsi="仿宋_GB2312" w:cs="仿宋_GB2312" w:eastAsia="仿宋_GB2312"/>
        </w:rPr>
        <w:t>详见附件：投标方案.docx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详见附件：首次分项报价表.docx</w:t>
      </w:r>
    </w:p>
    <w:p>
      <w:pPr>
        <w:pStyle w:val="null3"/>
        <w:ind w:firstLine="960"/>
      </w:pPr>
      <w:r>
        <w:rPr>
          <w:rFonts w:ascii="仿宋_GB2312" w:hAnsi="仿宋_GB2312" w:cs="仿宋_GB2312" w:eastAsia="仿宋_GB2312"/>
        </w:rPr>
        <w:t>详见附件：最后分项报价表.docx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