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line="360" w:lineRule="auto"/>
        <w:jc w:val="center"/>
        <w:outlineLvl w:val="0"/>
        <w:rPr>
          <w:rFonts w:hAnsi="宋体" w:cs="宋体"/>
          <w:b/>
          <w:sz w:val="24"/>
          <w:szCs w:val="24"/>
          <w:lang w:val="zh-CN"/>
        </w:rPr>
      </w:pPr>
      <w:r>
        <w:rPr>
          <w:rFonts w:hint="eastAsia" w:hAnsi="宋体" w:cs="宋体"/>
          <w:b/>
          <w:sz w:val="24"/>
          <w:szCs w:val="24"/>
          <w:highlight w:val="none"/>
          <w:lang w:val="zh-CN"/>
        </w:rPr>
        <w:t>拟签订的合同文本</w:t>
      </w:r>
    </w:p>
    <w:p>
      <w:pPr>
        <w:autoSpaceDE w:val="0"/>
        <w:autoSpaceDN w:val="0"/>
        <w:adjustRightInd w:val="0"/>
        <w:spacing w:line="360" w:lineRule="auto"/>
        <w:ind w:firstLine="480" w:firstLineChars="200"/>
        <w:rPr>
          <w:rFonts w:hAnsi="宋体" w:cs="宋体"/>
          <w:sz w:val="24"/>
          <w:szCs w:val="24"/>
        </w:rPr>
      </w:pPr>
      <w:r>
        <w:rPr>
          <w:rFonts w:hint="eastAsia" w:hAnsi="宋体" w:cs="宋体"/>
          <w:sz w:val="24"/>
          <w:szCs w:val="24"/>
        </w:rPr>
        <w:t>（本格式条款供甲乙双方签订合同参考，可根据项目的实际情况增减条款和内容）</w:t>
      </w:r>
    </w:p>
    <w:p>
      <w:pPr>
        <w:autoSpaceDE w:val="0"/>
        <w:autoSpaceDN w:val="0"/>
        <w:adjustRightInd w:val="0"/>
        <w:spacing w:line="360" w:lineRule="auto"/>
        <w:ind w:firstLine="723" w:firstLineChars="200"/>
        <w:jc w:val="center"/>
        <w:rPr>
          <w:rFonts w:hAnsi="宋体" w:cs="宋体"/>
          <w:b/>
          <w:bCs/>
          <w:sz w:val="36"/>
          <w:szCs w:val="36"/>
        </w:rPr>
      </w:pPr>
      <w:r>
        <w:rPr>
          <w:rFonts w:hint="eastAsia" w:hAnsi="宋体" w:cs="宋体"/>
          <w:b/>
          <w:bCs/>
          <w:sz w:val="36"/>
          <w:szCs w:val="36"/>
        </w:rPr>
        <w:t>服 务 合 同</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甲  方：西安市灞桥区人民法院</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 xml:space="preserve">乙  方：                    </w:t>
      </w:r>
    </w:p>
    <w:p>
      <w:pPr>
        <w:autoSpaceDE w:val="0"/>
        <w:autoSpaceDN w:val="0"/>
        <w:adjustRightInd w:val="0"/>
        <w:spacing w:line="360" w:lineRule="auto"/>
        <w:ind w:firstLine="840" w:firstLineChars="400"/>
        <w:rPr>
          <w:rFonts w:hAnsi="宋体" w:cs="宋体"/>
          <w:sz w:val="21"/>
          <w:szCs w:val="21"/>
        </w:rPr>
      </w:pPr>
      <w:r>
        <w:rPr>
          <w:rFonts w:hint="eastAsia" w:hAnsi="宋体" w:cs="宋体"/>
          <w:sz w:val="21"/>
          <w:szCs w:val="21"/>
        </w:rPr>
        <w:t>甲方所需服务，在西安市财政局的监督管理下，按照政府采购程序组织公开招标，确定乙方为</w:t>
      </w:r>
      <w:r>
        <w:rPr>
          <w:rFonts w:hint="eastAsia" w:hAnsi="宋体" w:cs="宋体"/>
          <w:sz w:val="21"/>
          <w:szCs w:val="21"/>
          <w:u w:val="single"/>
          <w:lang w:val="en-US" w:eastAsia="zh-CN"/>
        </w:rPr>
        <w:t xml:space="preserve">                       </w:t>
      </w:r>
      <w:r>
        <w:rPr>
          <w:rFonts w:hint="eastAsia" w:hAnsi="宋体" w:cs="宋体"/>
          <w:sz w:val="21"/>
          <w:szCs w:val="21"/>
        </w:rPr>
        <w:t>项目（</w:t>
      </w:r>
      <w:r>
        <w:rPr>
          <w:rFonts w:hint="eastAsia" w:hAnsi="宋体" w:cs="宋体"/>
          <w:sz w:val="21"/>
          <w:szCs w:val="21"/>
          <w:highlight w:val="none"/>
        </w:rPr>
        <w:t>项目编号：</w:t>
      </w:r>
      <w:r>
        <w:rPr>
          <w:rFonts w:hint="eastAsia" w:hAnsi="宋体" w:cs="宋体"/>
          <w:sz w:val="21"/>
          <w:szCs w:val="21"/>
          <w:highlight w:val="none"/>
          <w:u w:val="single"/>
          <w:lang w:val="en-US" w:eastAsia="zh-CN"/>
        </w:rPr>
        <w:t xml:space="preserve">             </w:t>
      </w:r>
      <w:r>
        <w:rPr>
          <w:rFonts w:hint="eastAsia" w:hAnsi="宋体" w:cs="宋体"/>
          <w:sz w:val="21"/>
          <w:szCs w:val="21"/>
        </w:rPr>
        <w:t>）中标人。依据《中华人民共和国政府采购法》、《中华人民共和国民法典》以及招标文件、中标通知书，经甲、乙双方协商，达成如下合同条款。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一、合同标的物内容及数量（以投标文件正本和澄清表〈函〉为准）</w:t>
      </w:r>
    </w:p>
    <w:tbl>
      <w:tblPr>
        <w:tblStyle w:val="4"/>
        <w:tblW w:w="88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200"/>
        <w:gridCol w:w="1492"/>
        <w:gridCol w:w="1440"/>
        <w:gridCol w:w="1020"/>
        <w:gridCol w:w="1200"/>
        <w:gridCol w:w="1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1116" w:type="dxa"/>
            <w:vAlign w:val="center"/>
          </w:tcPr>
          <w:p>
            <w:pPr>
              <w:autoSpaceDE w:val="0"/>
              <w:autoSpaceDN w:val="0"/>
              <w:adjustRightInd w:val="0"/>
              <w:spacing w:line="360" w:lineRule="auto"/>
              <w:jc w:val="center"/>
              <w:rPr>
                <w:rFonts w:hAnsi="宋体" w:cs="宋体"/>
                <w:sz w:val="21"/>
                <w:szCs w:val="21"/>
              </w:rPr>
            </w:pPr>
            <w:r>
              <w:rPr>
                <w:rFonts w:hint="eastAsia" w:hAnsi="宋体" w:cs="宋体"/>
                <w:sz w:val="21"/>
                <w:szCs w:val="21"/>
              </w:rPr>
              <w:t>序号</w:t>
            </w:r>
          </w:p>
        </w:tc>
        <w:tc>
          <w:tcPr>
            <w:tcW w:w="1200" w:type="dxa"/>
            <w:vAlign w:val="center"/>
          </w:tcPr>
          <w:p>
            <w:pPr>
              <w:autoSpaceDE w:val="0"/>
              <w:autoSpaceDN w:val="0"/>
              <w:adjustRightInd w:val="0"/>
              <w:spacing w:line="360" w:lineRule="auto"/>
              <w:jc w:val="center"/>
              <w:rPr>
                <w:rFonts w:hAnsi="宋体" w:cs="宋体"/>
                <w:sz w:val="21"/>
                <w:szCs w:val="21"/>
              </w:rPr>
            </w:pPr>
            <w:r>
              <w:rPr>
                <w:rFonts w:hint="eastAsia" w:hAnsi="宋体" w:cs="宋体"/>
                <w:sz w:val="21"/>
                <w:szCs w:val="21"/>
              </w:rPr>
              <w:t>服务名称</w:t>
            </w:r>
          </w:p>
        </w:tc>
        <w:tc>
          <w:tcPr>
            <w:tcW w:w="1492"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服务内容</w:t>
            </w:r>
          </w:p>
        </w:tc>
        <w:tc>
          <w:tcPr>
            <w:tcW w:w="1440" w:type="dxa"/>
            <w:vAlign w:val="center"/>
          </w:tcPr>
          <w:p>
            <w:pPr>
              <w:autoSpaceDE w:val="0"/>
              <w:autoSpaceDN w:val="0"/>
              <w:adjustRightInd w:val="0"/>
              <w:spacing w:line="360" w:lineRule="auto"/>
              <w:jc w:val="center"/>
              <w:rPr>
                <w:rFonts w:hAnsi="宋体" w:cs="宋体"/>
                <w:sz w:val="21"/>
                <w:szCs w:val="21"/>
              </w:rPr>
            </w:pPr>
            <w:r>
              <w:rPr>
                <w:rFonts w:hint="eastAsia" w:hAnsi="宋体" w:cs="宋体"/>
                <w:sz w:val="21"/>
                <w:szCs w:val="21"/>
              </w:rPr>
              <w:t>计量单位</w:t>
            </w:r>
          </w:p>
        </w:tc>
        <w:tc>
          <w:tcPr>
            <w:tcW w:w="1020" w:type="dxa"/>
            <w:vAlign w:val="center"/>
          </w:tcPr>
          <w:p>
            <w:pPr>
              <w:autoSpaceDE w:val="0"/>
              <w:autoSpaceDN w:val="0"/>
              <w:adjustRightInd w:val="0"/>
              <w:spacing w:line="360" w:lineRule="auto"/>
              <w:jc w:val="center"/>
              <w:rPr>
                <w:rFonts w:hAnsi="宋体" w:cs="宋体"/>
                <w:sz w:val="21"/>
                <w:szCs w:val="21"/>
              </w:rPr>
            </w:pPr>
            <w:r>
              <w:rPr>
                <w:rFonts w:hint="eastAsia" w:hAnsi="宋体" w:cs="宋体"/>
                <w:sz w:val="21"/>
                <w:szCs w:val="21"/>
              </w:rPr>
              <w:t>数量</w:t>
            </w:r>
          </w:p>
        </w:tc>
        <w:tc>
          <w:tcPr>
            <w:tcW w:w="1200" w:type="dxa"/>
            <w:vAlign w:val="center"/>
          </w:tcPr>
          <w:p>
            <w:pPr>
              <w:autoSpaceDE w:val="0"/>
              <w:autoSpaceDN w:val="0"/>
              <w:adjustRightInd w:val="0"/>
              <w:spacing w:line="360" w:lineRule="auto"/>
              <w:jc w:val="center"/>
              <w:rPr>
                <w:rFonts w:hAnsi="宋体" w:cs="宋体"/>
                <w:sz w:val="21"/>
                <w:szCs w:val="21"/>
              </w:rPr>
            </w:pPr>
            <w:r>
              <w:rPr>
                <w:rFonts w:hint="eastAsia" w:hAnsi="宋体" w:cs="宋体"/>
                <w:sz w:val="21"/>
                <w:szCs w:val="21"/>
              </w:rPr>
              <w:t>单价（元）</w:t>
            </w:r>
          </w:p>
        </w:tc>
        <w:tc>
          <w:tcPr>
            <w:tcW w:w="1378" w:type="dxa"/>
            <w:vAlign w:val="center"/>
          </w:tcPr>
          <w:p>
            <w:pPr>
              <w:autoSpaceDE w:val="0"/>
              <w:autoSpaceDN w:val="0"/>
              <w:adjustRightInd w:val="0"/>
              <w:spacing w:line="360" w:lineRule="auto"/>
              <w:jc w:val="center"/>
              <w:rPr>
                <w:rFonts w:hAnsi="宋体" w:cs="宋体"/>
                <w:sz w:val="21"/>
                <w:szCs w:val="21"/>
              </w:rPr>
            </w:pPr>
            <w:r>
              <w:rPr>
                <w:rFonts w:hint="eastAsia" w:hAnsi="宋体" w:cs="宋体"/>
                <w:sz w:val="21"/>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w:t>
            </w: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492" w:type="dxa"/>
            <w:vAlign w:val="center"/>
          </w:tcPr>
          <w:p>
            <w:pPr>
              <w:autoSpaceDE w:val="0"/>
              <w:autoSpaceDN w:val="0"/>
              <w:adjustRightInd w:val="0"/>
              <w:spacing w:line="360" w:lineRule="auto"/>
              <w:ind w:firstLine="420" w:firstLineChars="200"/>
              <w:rPr>
                <w:rFonts w:hAnsi="宋体" w:cs="宋体"/>
                <w:sz w:val="21"/>
                <w:szCs w:val="21"/>
              </w:rPr>
            </w:pPr>
          </w:p>
        </w:tc>
        <w:tc>
          <w:tcPr>
            <w:tcW w:w="1440" w:type="dxa"/>
            <w:vAlign w:val="center"/>
          </w:tcPr>
          <w:p>
            <w:pPr>
              <w:autoSpaceDE w:val="0"/>
              <w:autoSpaceDN w:val="0"/>
              <w:adjustRightInd w:val="0"/>
              <w:spacing w:line="360" w:lineRule="auto"/>
              <w:ind w:firstLine="420" w:firstLineChars="200"/>
              <w:rPr>
                <w:rFonts w:hAnsi="宋体" w:cs="宋体"/>
                <w:sz w:val="21"/>
                <w:szCs w:val="21"/>
              </w:rPr>
            </w:pPr>
          </w:p>
        </w:tc>
        <w:tc>
          <w:tcPr>
            <w:tcW w:w="1020" w:type="dxa"/>
            <w:vAlign w:val="center"/>
          </w:tcPr>
          <w:p>
            <w:pPr>
              <w:autoSpaceDE w:val="0"/>
              <w:autoSpaceDN w:val="0"/>
              <w:adjustRightInd w:val="0"/>
              <w:spacing w:line="360" w:lineRule="auto"/>
              <w:ind w:firstLine="420" w:firstLineChars="200"/>
              <w:rPr>
                <w:rFonts w:hAnsi="宋体" w:cs="宋体"/>
                <w:sz w:val="21"/>
                <w:szCs w:val="21"/>
              </w:rPr>
            </w:pP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378" w:type="dxa"/>
            <w:vAlign w:val="center"/>
          </w:tcPr>
          <w:p>
            <w:pPr>
              <w:autoSpaceDE w:val="0"/>
              <w:autoSpaceDN w:val="0"/>
              <w:adjustRightInd w:val="0"/>
              <w:spacing w:line="360" w:lineRule="auto"/>
              <w:ind w:firstLine="420" w:firstLineChars="200"/>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2</w:t>
            </w: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492" w:type="dxa"/>
            <w:vAlign w:val="center"/>
          </w:tcPr>
          <w:p>
            <w:pPr>
              <w:autoSpaceDE w:val="0"/>
              <w:autoSpaceDN w:val="0"/>
              <w:adjustRightInd w:val="0"/>
              <w:spacing w:line="360" w:lineRule="auto"/>
              <w:ind w:firstLine="420" w:firstLineChars="200"/>
              <w:rPr>
                <w:rFonts w:hAnsi="宋体" w:cs="宋体"/>
                <w:sz w:val="21"/>
                <w:szCs w:val="21"/>
              </w:rPr>
            </w:pPr>
          </w:p>
        </w:tc>
        <w:tc>
          <w:tcPr>
            <w:tcW w:w="1440" w:type="dxa"/>
            <w:vAlign w:val="center"/>
          </w:tcPr>
          <w:p>
            <w:pPr>
              <w:autoSpaceDE w:val="0"/>
              <w:autoSpaceDN w:val="0"/>
              <w:adjustRightInd w:val="0"/>
              <w:spacing w:line="360" w:lineRule="auto"/>
              <w:ind w:firstLine="420" w:firstLineChars="200"/>
              <w:rPr>
                <w:rFonts w:hAnsi="宋体" w:cs="宋体"/>
                <w:sz w:val="21"/>
                <w:szCs w:val="21"/>
              </w:rPr>
            </w:pPr>
          </w:p>
        </w:tc>
        <w:tc>
          <w:tcPr>
            <w:tcW w:w="1020" w:type="dxa"/>
            <w:vAlign w:val="center"/>
          </w:tcPr>
          <w:p>
            <w:pPr>
              <w:autoSpaceDE w:val="0"/>
              <w:autoSpaceDN w:val="0"/>
              <w:adjustRightInd w:val="0"/>
              <w:spacing w:line="360" w:lineRule="auto"/>
              <w:ind w:firstLine="420" w:firstLineChars="200"/>
              <w:rPr>
                <w:rFonts w:hAnsi="宋体" w:cs="宋体"/>
                <w:sz w:val="21"/>
                <w:szCs w:val="21"/>
              </w:rPr>
            </w:pP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378" w:type="dxa"/>
            <w:vAlign w:val="center"/>
          </w:tcPr>
          <w:p>
            <w:pPr>
              <w:autoSpaceDE w:val="0"/>
              <w:autoSpaceDN w:val="0"/>
              <w:adjustRightInd w:val="0"/>
              <w:spacing w:line="360" w:lineRule="auto"/>
              <w:ind w:firstLine="420" w:firstLineChars="200"/>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3</w:t>
            </w: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492" w:type="dxa"/>
            <w:vAlign w:val="center"/>
          </w:tcPr>
          <w:p>
            <w:pPr>
              <w:autoSpaceDE w:val="0"/>
              <w:autoSpaceDN w:val="0"/>
              <w:adjustRightInd w:val="0"/>
              <w:spacing w:line="360" w:lineRule="auto"/>
              <w:ind w:firstLine="420" w:firstLineChars="200"/>
              <w:rPr>
                <w:rFonts w:hAnsi="宋体" w:cs="宋体"/>
                <w:sz w:val="21"/>
                <w:szCs w:val="21"/>
              </w:rPr>
            </w:pPr>
          </w:p>
        </w:tc>
        <w:tc>
          <w:tcPr>
            <w:tcW w:w="1440" w:type="dxa"/>
            <w:vAlign w:val="center"/>
          </w:tcPr>
          <w:p>
            <w:pPr>
              <w:autoSpaceDE w:val="0"/>
              <w:autoSpaceDN w:val="0"/>
              <w:adjustRightInd w:val="0"/>
              <w:spacing w:line="360" w:lineRule="auto"/>
              <w:ind w:firstLine="420" w:firstLineChars="200"/>
              <w:rPr>
                <w:rFonts w:hAnsi="宋体" w:cs="宋体"/>
                <w:sz w:val="21"/>
                <w:szCs w:val="21"/>
              </w:rPr>
            </w:pPr>
          </w:p>
        </w:tc>
        <w:tc>
          <w:tcPr>
            <w:tcW w:w="1020" w:type="dxa"/>
            <w:vAlign w:val="center"/>
          </w:tcPr>
          <w:p>
            <w:pPr>
              <w:autoSpaceDE w:val="0"/>
              <w:autoSpaceDN w:val="0"/>
              <w:adjustRightInd w:val="0"/>
              <w:spacing w:line="360" w:lineRule="auto"/>
              <w:ind w:firstLine="420" w:firstLineChars="200"/>
              <w:rPr>
                <w:rFonts w:hAnsi="宋体" w:cs="宋体"/>
                <w:sz w:val="21"/>
                <w:szCs w:val="21"/>
              </w:rPr>
            </w:pP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378" w:type="dxa"/>
            <w:vAlign w:val="center"/>
          </w:tcPr>
          <w:p>
            <w:pPr>
              <w:autoSpaceDE w:val="0"/>
              <w:autoSpaceDN w:val="0"/>
              <w:adjustRightInd w:val="0"/>
              <w:spacing w:line="360" w:lineRule="auto"/>
              <w:ind w:firstLine="420" w:firstLineChars="200"/>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4</w:t>
            </w: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492" w:type="dxa"/>
            <w:vAlign w:val="center"/>
          </w:tcPr>
          <w:p>
            <w:pPr>
              <w:autoSpaceDE w:val="0"/>
              <w:autoSpaceDN w:val="0"/>
              <w:adjustRightInd w:val="0"/>
              <w:spacing w:line="360" w:lineRule="auto"/>
              <w:ind w:firstLine="420" w:firstLineChars="200"/>
              <w:rPr>
                <w:rFonts w:hAnsi="宋体" w:cs="宋体"/>
                <w:sz w:val="21"/>
                <w:szCs w:val="21"/>
              </w:rPr>
            </w:pPr>
          </w:p>
        </w:tc>
        <w:tc>
          <w:tcPr>
            <w:tcW w:w="1440" w:type="dxa"/>
            <w:vAlign w:val="center"/>
          </w:tcPr>
          <w:p>
            <w:pPr>
              <w:autoSpaceDE w:val="0"/>
              <w:autoSpaceDN w:val="0"/>
              <w:adjustRightInd w:val="0"/>
              <w:spacing w:line="360" w:lineRule="auto"/>
              <w:ind w:firstLine="420" w:firstLineChars="200"/>
              <w:rPr>
                <w:rFonts w:hAnsi="宋体" w:cs="宋体"/>
                <w:sz w:val="21"/>
                <w:szCs w:val="21"/>
              </w:rPr>
            </w:pPr>
          </w:p>
        </w:tc>
        <w:tc>
          <w:tcPr>
            <w:tcW w:w="1020" w:type="dxa"/>
            <w:vAlign w:val="center"/>
          </w:tcPr>
          <w:p>
            <w:pPr>
              <w:autoSpaceDE w:val="0"/>
              <w:autoSpaceDN w:val="0"/>
              <w:adjustRightInd w:val="0"/>
              <w:spacing w:line="360" w:lineRule="auto"/>
              <w:ind w:firstLine="420" w:firstLineChars="200"/>
              <w:rPr>
                <w:rFonts w:hAnsi="宋体" w:cs="宋体"/>
                <w:sz w:val="21"/>
                <w:szCs w:val="21"/>
              </w:rPr>
            </w:pP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378" w:type="dxa"/>
            <w:vAlign w:val="center"/>
          </w:tcPr>
          <w:p>
            <w:pPr>
              <w:autoSpaceDE w:val="0"/>
              <w:autoSpaceDN w:val="0"/>
              <w:adjustRightInd w:val="0"/>
              <w:spacing w:line="360" w:lineRule="auto"/>
              <w:ind w:firstLine="420" w:firstLineChars="200"/>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w:t>
            </w: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492" w:type="dxa"/>
            <w:vAlign w:val="center"/>
          </w:tcPr>
          <w:p>
            <w:pPr>
              <w:autoSpaceDE w:val="0"/>
              <w:autoSpaceDN w:val="0"/>
              <w:adjustRightInd w:val="0"/>
              <w:spacing w:line="360" w:lineRule="auto"/>
              <w:ind w:firstLine="420" w:firstLineChars="200"/>
              <w:rPr>
                <w:rFonts w:hAnsi="宋体" w:cs="宋体"/>
                <w:sz w:val="21"/>
                <w:szCs w:val="21"/>
              </w:rPr>
            </w:pPr>
          </w:p>
        </w:tc>
        <w:tc>
          <w:tcPr>
            <w:tcW w:w="1440" w:type="dxa"/>
            <w:vAlign w:val="center"/>
          </w:tcPr>
          <w:p>
            <w:pPr>
              <w:autoSpaceDE w:val="0"/>
              <w:autoSpaceDN w:val="0"/>
              <w:adjustRightInd w:val="0"/>
              <w:spacing w:line="360" w:lineRule="auto"/>
              <w:ind w:firstLine="420" w:firstLineChars="200"/>
              <w:rPr>
                <w:rFonts w:hAnsi="宋体" w:cs="宋体"/>
                <w:sz w:val="21"/>
                <w:szCs w:val="21"/>
              </w:rPr>
            </w:pPr>
          </w:p>
        </w:tc>
        <w:tc>
          <w:tcPr>
            <w:tcW w:w="1020" w:type="dxa"/>
            <w:vAlign w:val="center"/>
          </w:tcPr>
          <w:p>
            <w:pPr>
              <w:autoSpaceDE w:val="0"/>
              <w:autoSpaceDN w:val="0"/>
              <w:adjustRightInd w:val="0"/>
              <w:spacing w:line="360" w:lineRule="auto"/>
              <w:ind w:firstLine="420" w:firstLineChars="200"/>
              <w:rPr>
                <w:rFonts w:hAnsi="宋体" w:cs="宋体"/>
                <w:sz w:val="21"/>
                <w:szCs w:val="21"/>
              </w:rPr>
            </w:pPr>
          </w:p>
        </w:tc>
        <w:tc>
          <w:tcPr>
            <w:tcW w:w="1200" w:type="dxa"/>
            <w:vAlign w:val="center"/>
          </w:tcPr>
          <w:p>
            <w:pPr>
              <w:autoSpaceDE w:val="0"/>
              <w:autoSpaceDN w:val="0"/>
              <w:adjustRightInd w:val="0"/>
              <w:spacing w:line="360" w:lineRule="auto"/>
              <w:ind w:firstLine="420" w:firstLineChars="200"/>
              <w:rPr>
                <w:rFonts w:hAnsi="宋体" w:cs="宋体"/>
                <w:sz w:val="21"/>
                <w:szCs w:val="21"/>
              </w:rPr>
            </w:pPr>
          </w:p>
        </w:tc>
        <w:tc>
          <w:tcPr>
            <w:tcW w:w="1378" w:type="dxa"/>
            <w:vAlign w:val="center"/>
          </w:tcPr>
          <w:p>
            <w:pPr>
              <w:autoSpaceDE w:val="0"/>
              <w:autoSpaceDN w:val="0"/>
              <w:adjustRightInd w:val="0"/>
              <w:spacing w:line="360" w:lineRule="auto"/>
              <w:ind w:firstLine="420" w:firstLineChars="200"/>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合计</w:t>
            </w:r>
          </w:p>
        </w:tc>
        <w:tc>
          <w:tcPr>
            <w:tcW w:w="7730" w:type="dxa"/>
            <w:gridSpan w:val="6"/>
            <w:vAlign w:val="center"/>
          </w:tcPr>
          <w:p>
            <w:pPr>
              <w:autoSpaceDE w:val="0"/>
              <w:autoSpaceDN w:val="0"/>
              <w:adjustRightInd w:val="0"/>
              <w:spacing w:line="360" w:lineRule="auto"/>
              <w:ind w:firstLine="420" w:firstLineChars="200"/>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1116" w:type="dxa"/>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说明</w:t>
            </w:r>
          </w:p>
        </w:tc>
        <w:tc>
          <w:tcPr>
            <w:tcW w:w="7730" w:type="dxa"/>
            <w:gridSpan w:val="6"/>
            <w:vAlign w:val="center"/>
          </w:tcPr>
          <w:p>
            <w:pPr>
              <w:autoSpaceDE w:val="0"/>
              <w:autoSpaceDN w:val="0"/>
              <w:adjustRightInd w:val="0"/>
              <w:spacing w:line="360" w:lineRule="auto"/>
              <w:ind w:firstLine="420" w:firstLineChars="200"/>
              <w:rPr>
                <w:rFonts w:hAnsi="宋体" w:cs="宋体"/>
                <w:sz w:val="21"/>
                <w:szCs w:val="21"/>
              </w:rPr>
            </w:pPr>
          </w:p>
        </w:tc>
      </w:tr>
    </w:tbl>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二、服务条件：</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（一）服务地点：甲方指定地点。</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（二）服务期：</w:t>
      </w:r>
      <w:r>
        <w:rPr>
          <w:rFonts w:hint="eastAsia" w:hAnsi="宋体" w:cs="宋体"/>
          <w:color w:val="auto"/>
          <w:sz w:val="21"/>
          <w:szCs w:val="21"/>
          <w:highlight w:val="none"/>
        </w:rPr>
        <w:t>自合同签订之日起一年。</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三、合同价款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（一）合同总价款为人民币（大写）</w:t>
      </w:r>
      <w:r>
        <w:rPr>
          <w:rFonts w:hint="eastAsia" w:hAnsi="宋体" w:cs="宋体"/>
          <w:sz w:val="21"/>
          <w:szCs w:val="21"/>
          <w:u w:val="single"/>
        </w:rPr>
        <w:t xml:space="preserve">             </w:t>
      </w:r>
      <w:r>
        <w:rPr>
          <w:rFonts w:hint="eastAsia" w:hAnsi="宋体" w:cs="宋体"/>
          <w:sz w:val="21"/>
          <w:szCs w:val="21"/>
        </w:rPr>
        <w:t xml:space="preserve">；¥ </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line="360" w:lineRule="auto"/>
        <w:ind w:firstLine="420" w:firstLineChars="200"/>
        <w:rPr>
          <w:rFonts w:hAnsi="宋体" w:cs="宋体"/>
          <w:sz w:val="21"/>
          <w:szCs w:val="21"/>
        </w:rPr>
      </w:pPr>
      <w:r>
        <w:rPr>
          <w:rFonts w:hint="eastAsia" w:hAnsi="宋体" w:cs="宋体"/>
          <w:sz w:val="21"/>
          <w:szCs w:val="21"/>
        </w:rPr>
        <w:t>（二）合同价包括：完成招标文件中规定的本项目招标内容和范围所需要的全部费用，以及与所报货物、服务相关的所有税费。</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（三）合同价一次性包死，不受市场价格变化因素的影响。</w:t>
      </w:r>
    </w:p>
    <w:p>
      <w:pPr>
        <w:autoSpaceDE w:val="0"/>
        <w:autoSpaceDN w:val="0"/>
        <w:adjustRightInd w:val="0"/>
        <w:spacing w:line="360" w:lineRule="auto"/>
        <w:ind w:firstLine="420" w:firstLineChars="200"/>
        <w:rPr>
          <w:rFonts w:hAnsi="宋体" w:cs="宋体"/>
          <w:sz w:val="21"/>
          <w:szCs w:val="21"/>
          <w:highlight w:val="yellow"/>
        </w:rPr>
      </w:pPr>
      <w:r>
        <w:rPr>
          <w:rFonts w:hint="eastAsia" w:hAnsi="宋体" w:cs="宋体"/>
          <w:sz w:val="21"/>
          <w:szCs w:val="21"/>
        </w:rPr>
        <w:t>四、款项结算</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rPr>
        <w:t>1、</w:t>
      </w:r>
      <w:r>
        <w:rPr>
          <w:rFonts w:hint="eastAsia" w:hAnsi="宋体" w:cs="宋体"/>
          <w:sz w:val="21"/>
          <w:szCs w:val="21"/>
          <w:highlight w:val="none"/>
        </w:rPr>
        <w:t>合同签订生效后，达到付款条件起 15 日内，支付合同总金额的 50.00%。</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2</w:t>
      </w:r>
      <w:r>
        <w:rPr>
          <w:rFonts w:hint="eastAsia" w:hAnsi="宋体" w:cs="宋体"/>
          <w:sz w:val="21"/>
          <w:szCs w:val="21"/>
          <w:highlight w:val="none"/>
          <w:lang w:eastAsia="zh-CN"/>
        </w:rPr>
        <w:t>、</w:t>
      </w:r>
      <w:r>
        <w:rPr>
          <w:rFonts w:hint="eastAsia" w:hAnsi="宋体" w:cs="宋体"/>
          <w:sz w:val="21"/>
          <w:szCs w:val="21"/>
          <w:highlight w:val="none"/>
        </w:rPr>
        <w:t>项目实施过程中，根据实施进度验收，验收由乙方提出书面申请报告，甲方签字确认进行结算 ，达到付款条件起 15 日内，支付合同总金额的 50.00%。</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（二）支付方式：银行转账。</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（三）结算方式：每次付款前乙方向甲方提供合法有效的</w:t>
      </w:r>
      <w:r>
        <w:rPr>
          <w:rFonts w:hint="eastAsia" w:hAnsi="宋体" w:cs="宋体"/>
          <w:sz w:val="21"/>
          <w:szCs w:val="21"/>
          <w:u w:val="single"/>
        </w:rPr>
        <w:t xml:space="preserve">     </w:t>
      </w:r>
      <w:r>
        <w:rPr>
          <w:rFonts w:hint="eastAsia" w:hAnsi="宋体" w:cs="宋体"/>
          <w:sz w:val="21"/>
          <w:szCs w:val="21"/>
        </w:rPr>
        <w:t>发票。乙方持中标通知书、服务合同、发票，与甲方结算。</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五、双方的权利和义务</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（一）甲方的权利和义务</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（由双方协商，须填写）</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（二）乙方的权利和义务</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（由双方协商，须填写）</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六、质量保证</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乙方所供服务必须执行下列条款：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（一）服务方案和方式科学、可行，人员配置合理，全面满足要求。</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（二）符合国家有关服务规范要求，确保各项服务达到最佳运行效果。</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（三）乙方提供的服务，若发生侵权而产生的一切后果，由乙方负责。甲方保留索赔权力。</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（四）服务承诺内容。</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（五）双方拟定的其他条款。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七、验收</w:t>
      </w:r>
    </w:p>
    <w:p>
      <w:pPr>
        <w:autoSpaceDE w:val="0"/>
        <w:autoSpaceDN w:val="0"/>
        <w:adjustRightInd w:val="0"/>
        <w:spacing w:line="360" w:lineRule="auto"/>
        <w:ind w:firstLine="420" w:firstLineChars="200"/>
        <w:rPr>
          <w:rFonts w:hint="eastAsia" w:hAnsi="宋体" w:cs="宋体"/>
          <w:sz w:val="21"/>
          <w:szCs w:val="21"/>
        </w:rPr>
      </w:pPr>
      <w:r>
        <w:rPr>
          <w:rFonts w:hint="eastAsia" w:hAnsi="宋体" w:cs="宋体"/>
          <w:sz w:val="21"/>
          <w:szCs w:val="21"/>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（二）乙方向甲方提交服务实施过程中的所有资料。以便甲方日后管理和维护。</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（三）验收依据：</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1、招标文件、投标文件、澄清表（函）；</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2、本合同及附件文本；</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3、国家相应的标准、规范。</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（四）双方拟定的其他条款。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八、违约责任</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（一）合同中未约定的，按《中华人民共和国民法典》中的相关条款执行。</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hAnsi="宋体" w:cs="宋体"/>
          <w:sz w:val="21"/>
          <w:szCs w:val="21"/>
          <w:u w:val="single"/>
        </w:rPr>
        <w:t xml:space="preserve">   </w:t>
      </w:r>
      <w:r>
        <w:rPr>
          <w:rFonts w:hint="eastAsia" w:hAnsi="宋体" w:cs="宋体"/>
          <w:sz w:val="21"/>
          <w:szCs w:val="21"/>
        </w:rPr>
        <w:t>%的违约金。同时，政府采购监管部门有权依据《政府采购法》及相关法律法规对乙方的违法行为进行相应的处罚。</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（三）在本合同履行过程中，双方因违约或造成对方经济、社会效益等损失的应当赔偿。</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（四）甲方无正当理由拒绝接受服务，需向乙方偿付本合同总价款</w:t>
      </w:r>
      <w:r>
        <w:rPr>
          <w:rFonts w:hint="eastAsia" w:hAnsi="宋体" w:cs="宋体"/>
          <w:sz w:val="21"/>
          <w:szCs w:val="21"/>
          <w:u w:val="single"/>
        </w:rPr>
        <w:t xml:space="preserve">   </w:t>
      </w:r>
      <w:r>
        <w:rPr>
          <w:rFonts w:hint="eastAsia" w:hAnsi="宋体" w:cs="宋体"/>
          <w:sz w:val="21"/>
          <w:szCs w:val="21"/>
        </w:rPr>
        <w:t>%的违约金。甲方由于自身原因逾期付款的，则每日按逾期金额的</w:t>
      </w:r>
      <w:r>
        <w:rPr>
          <w:rFonts w:hint="eastAsia" w:hAnsi="宋体" w:cs="宋体"/>
          <w:sz w:val="21"/>
          <w:szCs w:val="21"/>
          <w:u w:val="single"/>
        </w:rPr>
        <w:t xml:space="preserve">   </w:t>
      </w:r>
      <w:r>
        <w:rPr>
          <w:rFonts w:hint="eastAsia" w:hAnsi="宋体" w:cs="宋体"/>
          <w:sz w:val="21"/>
          <w:szCs w:val="21"/>
        </w:rPr>
        <w:t>%向乙方偿付违约金。</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（五）乙方提供的服务不符合本项目相关文件和本合同规定的，甲方有权拒绝，并且乙方须向甲方支付本合同总价款</w:t>
      </w:r>
      <w:r>
        <w:rPr>
          <w:rFonts w:hint="eastAsia" w:hAnsi="宋体" w:cs="宋体"/>
          <w:sz w:val="21"/>
          <w:szCs w:val="21"/>
          <w:u w:val="single"/>
        </w:rPr>
        <w:t xml:space="preserve">    </w:t>
      </w:r>
      <w:r>
        <w:rPr>
          <w:rFonts w:hint="eastAsia" w:hAnsi="宋体" w:cs="宋体"/>
          <w:sz w:val="21"/>
          <w:szCs w:val="21"/>
        </w:rPr>
        <w:t>%的违约金。</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（六）乙方未能按照本合同约定时间提供服务或完成约定的项目服务内容的，从逾期之日起每日按本合同总价款</w:t>
      </w:r>
      <w:r>
        <w:rPr>
          <w:rFonts w:hint="eastAsia" w:hAnsi="宋体" w:cs="宋体"/>
          <w:sz w:val="21"/>
          <w:szCs w:val="21"/>
          <w:u w:val="single"/>
        </w:rPr>
        <w:t xml:space="preserve">    </w:t>
      </w:r>
      <w:r>
        <w:rPr>
          <w:rFonts w:hint="eastAsia" w:hAnsi="宋体" w:cs="宋体"/>
          <w:sz w:val="21"/>
          <w:szCs w:val="21"/>
        </w:rPr>
        <w:t>%的数额向甲方支付违约金；逾期</w:t>
      </w:r>
      <w:r>
        <w:rPr>
          <w:rFonts w:hint="eastAsia" w:hAnsi="宋体" w:cs="宋体"/>
          <w:sz w:val="21"/>
          <w:szCs w:val="21"/>
          <w:u w:val="single"/>
        </w:rPr>
        <w:t xml:space="preserve">   </w:t>
      </w:r>
      <w:r>
        <w:rPr>
          <w:rFonts w:hint="eastAsia" w:hAnsi="宋体" w:cs="宋体"/>
          <w:sz w:val="21"/>
          <w:szCs w:val="21"/>
        </w:rPr>
        <w:t>日以上的，甲方有权终止合同，由此造成的甲方经济损失由乙方承担。</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（七）未经甲方同意，乙方不得擅自将本合同服务分包或转包第三方承担。</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（八）本合同中各条款约定的违约金可自甲方未支付款项中直接扣除，违约金若不能弥补甲方损失的，乙方还应赔偿甲方损失。</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（九）双方拟定的其他条款。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九、保密条款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（三）本条款为独立条款，本合同的无效、变更、解除和终止均不影响本条款的效力。</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（四）双方拟定的其他条款。</w:t>
      </w:r>
    </w:p>
    <w:p>
      <w:pPr>
        <w:autoSpaceDE w:val="0"/>
        <w:autoSpaceDN w:val="0"/>
        <w:adjustRightInd w:val="0"/>
        <w:spacing w:line="360" w:lineRule="auto"/>
        <w:ind w:firstLine="420" w:firstLineChars="200"/>
        <w:rPr>
          <w:rFonts w:hint="eastAsia" w:hAnsi="宋体" w:cs="宋体"/>
          <w:sz w:val="21"/>
          <w:szCs w:val="21"/>
        </w:rPr>
      </w:pP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十、争议解决</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（一）本合同在履行过程中发生的争议，由甲、乙双方当事人协商解决，协商不成的按下列第</w:t>
      </w:r>
      <w:r>
        <w:rPr>
          <w:rFonts w:hint="eastAsia" w:hAnsi="宋体" w:cs="宋体"/>
          <w:sz w:val="21"/>
          <w:szCs w:val="21"/>
          <w:u w:val="single"/>
        </w:rPr>
        <w:t xml:space="preserve">   </w:t>
      </w:r>
      <w:r>
        <w:rPr>
          <w:rFonts w:hint="eastAsia" w:hAnsi="宋体" w:cs="宋体"/>
          <w:sz w:val="21"/>
          <w:szCs w:val="21"/>
        </w:rPr>
        <w:t>种方式解决：</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1、提交西安仲裁委员会仲裁；</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2、依法向甲方所在地人民法院起诉。</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（二）本条款为独立条款，本合同的无效、变更、解除和终止均不影响本条款的效力。</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十一、关于送达的约定</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（一）本合同项下甲乙双方任何一方向对方发出的通知、信件、数据电文等，应当发送至本合同下列约定的地址、联系人和通信终端。</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甲方联系人：×××</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联系电话：×××-××××</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联系地址：××××××××，邮编：××××。</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甲方（□同意□不同意）接受电子文件送达，电子终端信息如下：</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移动电话：1××××××××</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传真：×××-××××</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微信号：××××××××</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电子邮箱：×××@×××.Com</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乙方联系人：×××</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联系电话：×××-××××</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联系地址：××××××××，邮编：××××。</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乙方（□同意□不同意）接受电子文件送达，电子终端信息如下：</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移动电话：1××××××××</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传真：×××-××××</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微信号：××××××××</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电子邮箱：×××@×××.Com</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（二）各种通讯方式应当按照下列方式确定其送达时间：</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1、面呈之通知在被通知人签收时视为送达，被通知人未签收的不得视为有效送达。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2、以邮寄方式进行的通知均为应采用邮政挂号快件或特快专递的方式进行，自信件交邮后的第7日视为送达。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3、发出的短信/传真/微信/电子邮件，自前述电子文件内容在发送方正确填写地址且未被系统退回的情况下，视为进入对方数据电子文件接收系统即视为送达。若送达日为非工作日，则视为在下一个工作日送达。</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4、一方当事人变更名称、地址、联系人或通信终端的，应当在变更后3日内及时书面通知对方当事人，对方当事人实际收到变更通知前的送达仍为有效送达，电子送达与书面送达具有同等法律效力。</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十二、合同变更</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在合同的执行期内，双方均不得随意变更或解除合同。如因项目需求情况发生变化，需要项目变更的，应双方协商后签订项目变更协议，并经</w:t>
      </w:r>
      <w:r>
        <w:rPr>
          <w:rFonts w:hint="eastAsia" w:hAnsi="宋体" w:cs="宋体"/>
          <w:sz w:val="21"/>
          <w:szCs w:val="21"/>
          <w:lang w:eastAsia="zh-CN"/>
        </w:rPr>
        <w:t>双</w:t>
      </w:r>
      <w:r>
        <w:rPr>
          <w:rFonts w:hint="eastAsia" w:hAnsi="宋体" w:cs="宋体"/>
          <w:sz w:val="21"/>
          <w:szCs w:val="21"/>
        </w:rPr>
        <w:t>方确认后生效（如双方变更事项不能达成一致的，仍按原合同履行，否则视为违约）。</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十三、合同生效</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本合同一式</w:t>
      </w:r>
      <w:r>
        <w:rPr>
          <w:rFonts w:hint="eastAsia" w:hAnsi="宋体" w:cs="宋体"/>
          <w:sz w:val="21"/>
          <w:szCs w:val="21"/>
          <w:u w:val="single"/>
        </w:rPr>
        <w:t xml:space="preserve">   </w:t>
      </w:r>
      <w:r>
        <w:rPr>
          <w:rFonts w:hint="eastAsia" w:hAnsi="宋体" w:cs="宋体"/>
          <w:sz w:val="21"/>
          <w:szCs w:val="21"/>
        </w:rPr>
        <w:t>份，甲方持</w:t>
      </w:r>
      <w:r>
        <w:rPr>
          <w:rFonts w:hint="eastAsia" w:hAnsi="宋体" w:cs="宋体"/>
          <w:sz w:val="21"/>
          <w:szCs w:val="21"/>
          <w:u w:val="single"/>
        </w:rPr>
        <w:t xml:space="preserve">   </w:t>
      </w:r>
      <w:r>
        <w:rPr>
          <w:rFonts w:hint="eastAsia" w:hAnsi="宋体" w:cs="宋体"/>
          <w:sz w:val="21"/>
          <w:szCs w:val="21"/>
        </w:rPr>
        <w:t>份，乙方持</w:t>
      </w:r>
      <w:r>
        <w:rPr>
          <w:rFonts w:hint="eastAsia" w:hAnsi="宋体" w:cs="宋体"/>
          <w:sz w:val="21"/>
          <w:szCs w:val="21"/>
          <w:u w:val="single"/>
        </w:rPr>
        <w:t xml:space="preserve">   </w:t>
      </w:r>
      <w:r>
        <w:rPr>
          <w:rFonts w:hint="eastAsia" w:hAnsi="宋体" w:cs="宋体"/>
          <w:sz w:val="21"/>
          <w:szCs w:val="21"/>
        </w:rPr>
        <w:t>份，西安市财政局政府采购管理处备案</w:t>
      </w:r>
      <w:r>
        <w:rPr>
          <w:rFonts w:hint="eastAsia" w:hAnsi="宋体" w:cs="宋体"/>
          <w:sz w:val="21"/>
          <w:szCs w:val="21"/>
          <w:u w:val="single"/>
        </w:rPr>
        <w:t xml:space="preserve">   </w:t>
      </w:r>
      <w:bookmarkStart w:id="0" w:name="_GoBack"/>
      <w:bookmarkEnd w:id="0"/>
      <w:r>
        <w:rPr>
          <w:rFonts w:hint="eastAsia" w:hAnsi="宋体" w:cs="宋体"/>
          <w:sz w:val="21"/>
          <w:szCs w:val="21"/>
        </w:rPr>
        <w:t>份，本合同甲、乙、鉴证各方签字盖章后生效，合同执行完毕后，自动失效（合同的服务承诺则长期有效）。</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十四、其他事项</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w:t>
      </w:r>
      <w:r>
        <w:rPr>
          <w:rFonts w:hint="eastAsia" w:hAnsi="宋体" w:cs="宋体"/>
          <w:sz w:val="21"/>
          <w:szCs w:val="21"/>
          <w:lang w:eastAsia="zh-CN"/>
        </w:rPr>
        <w:t>一</w:t>
      </w:r>
      <w:r>
        <w:rPr>
          <w:rFonts w:hint="eastAsia" w:hAnsi="宋体" w:cs="宋体"/>
          <w:sz w:val="21"/>
          <w:szCs w:val="21"/>
        </w:rPr>
        <w:t>）西安市财政局在合同的履行期间以及履行期后，可以随时检查项目的执行情况，对采购标准、采购内容进行调查核实，并对发现的问题进行处理。</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w:t>
      </w:r>
      <w:r>
        <w:rPr>
          <w:rFonts w:hint="eastAsia" w:hAnsi="宋体" w:cs="宋体"/>
          <w:sz w:val="21"/>
          <w:szCs w:val="21"/>
          <w:lang w:eastAsia="zh-CN"/>
        </w:rPr>
        <w:t>二</w:t>
      </w:r>
      <w:r>
        <w:rPr>
          <w:rFonts w:hint="eastAsia" w:hAnsi="宋体" w:cs="宋体"/>
          <w:sz w:val="21"/>
          <w:szCs w:val="21"/>
        </w:rPr>
        <w:t>）招标文件、投标文件、澄清表（函）、中标通知书、合同附件均成为合同不可分割的部分。</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w:t>
      </w:r>
      <w:r>
        <w:rPr>
          <w:rFonts w:hint="eastAsia" w:hAnsi="宋体" w:cs="宋体"/>
          <w:sz w:val="21"/>
          <w:szCs w:val="21"/>
          <w:lang w:eastAsia="zh-CN"/>
        </w:rPr>
        <w:t>三</w:t>
      </w:r>
      <w:r>
        <w:rPr>
          <w:rFonts w:hint="eastAsia" w:hAnsi="宋体" w:cs="宋体"/>
          <w:sz w:val="21"/>
          <w:szCs w:val="21"/>
        </w:rPr>
        <w:t>）甲乙双方因不可抗力导致本合同全部或部分不能履行时，发生不可抗力的一方应当在不可抗力发生后</w:t>
      </w:r>
      <w:r>
        <w:rPr>
          <w:rFonts w:hint="eastAsia" w:hAnsi="宋体" w:cs="宋体"/>
          <w:sz w:val="21"/>
          <w:szCs w:val="21"/>
          <w:u w:val="single"/>
        </w:rPr>
        <w:t xml:space="preserve">   </w:t>
      </w:r>
      <w:r>
        <w:rPr>
          <w:rFonts w:hint="eastAsia" w:hAnsi="宋体" w:cs="宋体"/>
          <w:sz w:val="21"/>
          <w:szCs w:val="21"/>
        </w:rPr>
        <w:t>天内书面通知对方，以减轻可能给对方造成的损失。因不可抗力导致本合同全部或部分不能履行时，双方各自承担其因此而造成的损失、损害。</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w:t>
      </w:r>
      <w:r>
        <w:rPr>
          <w:rFonts w:hint="eastAsia" w:hAnsi="宋体" w:cs="宋体"/>
          <w:sz w:val="21"/>
          <w:szCs w:val="21"/>
          <w:lang w:eastAsia="zh-CN"/>
        </w:rPr>
        <w:t>四</w:t>
      </w:r>
      <w:r>
        <w:rPr>
          <w:rFonts w:hint="eastAsia" w:hAnsi="宋体" w:cs="宋体"/>
          <w:sz w:val="21"/>
          <w:szCs w:val="21"/>
        </w:rPr>
        <w:t>）合同未尽事宜，由甲、乙双方协商并经鉴证方确认后签订政府采购补充合同，与原合同具有同等法律效力。</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pStyle w:val="2"/>
        <w:rPr>
          <w:rFonts w:hAnsi="宋体" w:cs="宋体"/>
          <w:sz w:val="21"/>
          <w:szCs w:val="21"/>
        </w:rPr>
      </w:pPr>
    </w:p>
    <w:p>
      <w:pPr>
        <w:rPr>
          <w:rFonts w:hAnsi="宋体" w:cs="宋体"/>
          <w:sz w:val="21"/>
          <w:szCs w:val="21"/>
        </w:rPr>
      </w:pPr>
    </w:p>
    <w:p>
      <w:pPr>
        <w:pStyle w:val="2"/>
        <w:rPr>
          <w:rFonts w:hAnsi="宋体" w:cs="宋体"/>
          <w:sz w:val="21"/>
          <w:szCs w:val="21"/>
        </w:rPr>
      </w:pPr>
    </w:p>
    <w:p/>
    <w:p>
      <w:pPr>
        <w:pStyle w:val="2"/>
      </w:pPr>
    </w:p>
    <w:tbl>
      <w:tblPr>
        <w:tblStyle w:val="4"/>
        <w:tblW w:w="87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8"/>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甲  方</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采购人名称</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（西安市灞桥区人民法院）</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（盖章）</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投标供应商全称</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（请填写具体名称）</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 xml:space="preserve">地址： </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邮编：</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 xml:space="preserve">法定代表人： </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被授权代表：（签字）</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被授权代表：（签字）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电话：</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传真：</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帐号：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44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日期：   年   月   日</w:t>
            </w:r>
          </w:p>
        </w:tc>
        <w:tc>
          <w:tcPr>
            <w:tcW w:w="4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B5B80"/>
    <w:rsid w:val="07735573"/>
    <w:rsid w:val="097B106C"/>
    <w:rsid w:val="0D4C4854"/>
    <w:rsid w:val="14707BC9"/>
    <w:rsid w:val="28F90423"/>
    <w:rsid w:val="36DD762E"/>
    <w:rsid w:val="3C857314"/>
    <w:rsid w:val="3E4D2BC0"/>
    <w:rsid w:val="6A7528D6"/>
    <w:rsid w:val="6E993B44"/>
    <w:rsid w:val="75775ABF"/>
    <w:rsid w:val="769B1B24"/>
    <w:rsid w:val="7889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2">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2025-05-27T01:07:00Z</dcterms:created>
  <dc:creator>Administrator</dc:creator>
  <cp:lastModifiedBy>Administrator</cp:lastModifiedBy>
  <dcterms:modified xsi:type="dcterms:W3CDTF">2026-04-23T02:44:20Z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