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版本号：SCZB2026-CS-1488-003.1B120260722001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提升改造及设备购置项目(二次)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SCZB2026-CS-1488-003.1B1</w:t>
      </w:r>
      <w:r>
        <w:br/>
      </w:r>
      <w:r>
        <w:br/>
      </w:r>
      <w:r>
        <w:br/>
      </w:r>
    </w:p>
    <w:p>
      <w:pPr>
        <w:pStyle w:val="null3"/>
        <w:jc w:val="center"/>
        <w:outlineLvl w:val="2"/>
      </w:pPr>
      <w:r>
        <w:rPr>
          <w:rFonts w:ascii="仿宋_GB2312" w:hAnsi="仿宋_GB2312" w:cs="仿宋_GB2312" w:eastAsia="仿宋_GB2312"/>
          <w:sz w:val="28"/>
          <w:b/>
        </w:rPr>
        <w:t>淳化县铁王初级中学</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淳化县铁王初级中学</w:t>
      </w:r>
      <w:r>
        <w:rPr>
          <w:rFonts w:ascii="仿宋_GB2312" w:hAnsi="仿宋_GB2312" w:cs="仿宋_GB2312" w:eastAsia="仿宋_GB2312"/>
        </w:rPr>
        <w:t>委托，拟对</w:t>
      </w:r>
      <w:r>
        <w:rPr>
          <w:rFonts w:ascii="仿宋_GB2312" w:hAnsi="仿宋_GB2312" w:cs="仿宋_GB2312" w:eastAsia="仿宋_GB2312"/>
        </w:rPr>
        <w:t>提升改造及设备购置项目(二次)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SCZB2026-CS-1488-003.1B1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提升改造及设备购置项目(二次)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本项目位于陕西省淳化县。主要施工内容为：淳化县铁王初级中学提升改造，购置部分设备等。具体技术标准和要求详见本项目磋商文件、工程量清单和施工图纸。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采购包1（提升改造及设备购置）：属于专门面向中小企业采购。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1、“信用中国” 网站和中国政府采购网查询记录：供应商在递交磋商响应文件截止时间前被“信用中国”网站（www.creditchina.gov.cn）和中国政府采购网（www.ccgp.gov.cn）上被列入失信被执行人、重大税收违法失信主体、政府采购严重违法失信行为记录名单的，不得参加磋商（以磋商资格审查时为准）。</w:t>
      </w:r>
    </w:p>
    <w:p>
      <w:pPr>
        <w:pStyle w:val="null3"/>
      </w:pPr>
      <w:r>
        <w:rPr>
          <w:rFonts w:ascii="仿宋_GB2312" w:hAnsi="仿宋_GB2312" w:cs="仿宋_GB2312" w:eastAsia="仿宋_GB2312"/>
        </w:rPr>
        <w:t>2、授权委托书：供应商应授权合法的人员参加磋商全过程，其中法定代表人或其他组织负责人直接参加磋商的，须出具法人身份证，并与营业执照上信息一致，或其他组织负责人身份证。授权代表参加磋商的，须出具法定代表人或其他组织负责人授权书及授权代表身份证、授权代表本单位证明（劳动合同或养老保险缴纳证明）。</w:t>
      </w:r>
    </w:p>
    <w:p>
      <w:pPr>
        <w:pStyle w:val="null3"/>
      </w:pPr>
      <w:r>
        <w:rPr>
          <w:rFonts w:ascii="仿宋_GB2312" w:hAnsi="仿宋_GB2312" w:cs="仿宋_GB2312" w:eastAsia="仿宋_GB2312"/>
        </w:rPr>
        <w:t>3、企业资质：供应商具备建设行政部门核发的建筑工程施工总承包三级及以上资质，且具备有效的安全生产许可证。</w:t>
      </w:r>
    </w:p>
    <w:p>
      <w:pPr>
        <w:pStyle w:val="null3"/>
      </w:pPr>
      <w:r>
        <w:rPr>
          <w:rFonts w:ascii="仿宋_GB2312" w:hAnsi="仿宋_GB2312" w:cs="仿宋_GB2312" w:eastAsia="仿宋_GB2312"/>
        </w:rPr>
        <w:t>4、拟派项目经理资质及专业要求：供应商拟派项目经理具备建筑工程专业二级及以上注册建造师执业资格，具有有效的安全生产考核合格证（建安B证），且在本单位注册；未担任其他在建工程项目的项目经理，提供无在建工程承诺书。</w:t>
      </w:r>
    </w:p>
    <w:p>
      <w:pPr>
        <w:pStyle w:val="null3"/>
      </w:pPr>
      <w:r>
        <w:rPr>
          <w:rFonts w:ascii="仿宋_GB2312" w:hAnsi="仿宋_GB2312" w:cs="仿宋_GB2312" w:eastAsia="仿宋_GB2312"/>
        </w:rPr>
        <w:t>5、非联合体：参与供应商为非联合体（提供声明函）。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淳化县铁王初级中学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陕西省淳化县铁王镇街道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王永刚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18220903208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赵晗羽、张学强、年婷婷、刘艳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淳化县政府采购管理股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雒斌</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13992019992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采购包1：788,714.51元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原《国家计委关于印发&lt;招标代理服务收费管理暂行办法&gt;的通知》（计价格[2002]1980号）和国家发改委发改办价格〔2003〕857号文计算方法按合同包进行收取（按标准下浮20%），由成交供应商支付，成交供应商须在领取成交通知书前一次性向代理机构支付。</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淳化县铁王初级中学</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淳化县铁王初级中学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淳化县铁王初级中学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实施过程中采⽤⾃有或者第三⽅知识成果的，使⽤该知识成果后，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地址：陕西省西安市雁塔区锦业路1号都市之门C座9层综合办公室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788,714.51</w:t>
      </w:r>
    </w:p>
    <w:p>
      <w:pPr>
        <w:pStyle w:val="null3"/>
      </w:pPr>
      <w:r>
        <w:rPr>
          <w:rFonts w:ascii="仿宋_GB2312" w:hAnsi="仿宋_GB2312" w:cs="仿宋_GB2312" w:eastAsia="仿宋_GB2312"/>
        </w:rPr>
        <w:t>采购包最高限价（元）: 788,714.51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淳化县铁王初级中学提升改造及设备购置项目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788,714.51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标的名称：淳化县铁王初级中学提升改造及设备购置项目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一、项目概况</w:t>
            </w:r>
            <w:r>
              <w:br/>
            </w:r>
            <w:r>
              <w:rPr>
                <w:rFonts w:ascii="仿宋_GB2312" w:hAnsi="仿宋_GB2312" w:cs="仿宋_GB2312" w:eastAsia="仿宋_GB2312"/>
              </w:rPr>
              <w:t xml:space="preserve"> 淳化县铁王初级中学提升改造及设备购置项目，具体内容详见工程量清单及竞争性磋商文件。</w:t>
            </w:r>
            <w:r>
              <w:br/>
            </w:r>
            <w:r>
              <w:rPr>
                <w:rFonts w:ascii="仿宋_GB2312" w:hAnsi="仿宋_GB2312" w:cs="仿宋_GB2312" w:eastAsia="仿宋_GB2312"/>
                <w:b/>
              </w:rPr>
              <w:t>二、工程内容和施工地点、工期</w:t>
            </w:r>
            <w:r>
              <w:br/>
            </w:r>
            <w:r>
              <w:rPr>
                <w:rFonts w:ascii="仿宋_GB2312" w:hAnsi="仿宋_GB2312" w:cs="仿宋_GB2312" w:eastAsia="仿宋_GB2312"/>
              </w:rPr>
              <w:t xml:space="preserve"> 1.工程内容：淳化县铁王初级中学提升改造，购置部分设备等。具体技术标准和要求详见本项目磋商文件、工程量清单和施工图纸。</w:t>
            </w:r>
            <w:r>
              <w:br/>
            </w:r>
            <w:r>
              <w:rPr>
                <w:rFonts w:ascii="仿宋_GB2312" w:hAnsi="仿宋_GB2312" w:cs="仿宋_GB2312" w:eastAsia="仿宋_GB2312"/>
              </w:rPr>
              <w:t xml:space="preserve"> 2.工程地点：本项目位于陕西省淳化县</w:t>
            </w:r>
            <w:r>
              <w:br/>
            </w:r>
            <w:r>
              <w:rPr>
                <w:rFonts w:ascii="仿宋_GB2312" w:hAnsi="仿宋_GB2312" w:cs="仿宋_GB2312" w:eastAsia="仿宋_GB2312"/>
              </w:rPr>
              <w:t xml:space="preserve"> 3.工期：20日历天</w:t>
            </w:r>
            <w:r>
              <w:br/>
            </w:r>
            <w:r>
              <w:rPr>
                <w:rFonts w:ascii="仿宋_GB2312" w:hAnsi="仿宋_GB2312" w:cs="仿宋_GB2312" w:eastAsia="仿宋_GB2312"/>
                <w:b/>
              </w:rPr>
              <w:t>三、工程量清单编制说明</w:t>
            </w:r>
            <w:r>
              <w:br/>
            </w:r>
            <w:r>
              <w:rPr>
                <w:rFonts w:ascii="仿宋_GB2312" w:hAnsi="仿宋_GB2312" w:cs="仿宋_GB2312" w:eastAsia="仿宋_GB2312"/>
              </w:rPr>
              <w:t xml:space="preserve"> 工程量清单及编制说明另附。</w:t>
            </w:r>
            <w:r>
              <w:br/>
            </w:r>
            <w:r>
              <w:rPr>
                <w:rFonts w:ascii="仿宋_GB2312" w:hAnsi="仿宋_GB2312" w:cs="仿宋_GB2312" w:eastAsia="仿宋_GB2312"/>
                <w:b/>
              </w:rPr>
              <w:t>四、图纸：电子版另附。</w:t>
            </w:r>
            <w:r>
              <w:br/>
            </w:r>
            <w:r>
              <w:rPr>
                <w:rFonts w:ascii="仿宋_GB2312" w:hAnsi="仿宋_GB2312" w:cs="仿宋_GB2312" w:eastAsia="仿宋_GB2312"/>
                <w:b/>
              </w:rPr>
              <w:t>五、施工要求</w:t>
            </w:r>
            <w:r>
              <w:br/>
            </w:r>
            <w:r>
              <w:rPr>
                <w:rFonts w:ascii="仿宋_GB2312" w:hAnsi="仿宋_GB2312" w:cs="仿宋_GB2312" w:eastAsia="仿宋_GB2312"/>
              </w:rPr>
              <w:t xml:space="preserve"> 1、成交供应商必须配备足够的人员和充足的机械设备进入实施，确保按时保质保量完成任务。</w:t>
            </w:r>
            <w:r>
              <w:br/>
            </w:r>
            <w:r>
              <w:rPr>
                <w:rFonts w:ascii="仿宋_GB2312" w:hAnsi="仿宋_GB2312" w:cs="仿宋_GB2312" w:eastAsia="仿宋_GB2312"/>
              </w:rPr>
              <w:t xml:space="preserve"> 2、必须严密组织，文明施工，作好四周维护及安全环保措施，所需费用由成交供应商承担，施工过程必须严格遵守政府相关规定。</w:t>
            </w:r>
            <w:r>
              <w:br/>
            </w:r>
            <w:r>
              <w:rPr>
                <w:rFonts w:ascii="仿宋_GB2312" w:hAnsi="仿宋_GB2312" w:cs="仿宋_GB2312" w:eastAsia="仿宋_GB2312"/>
              </w:rPr>
              <w:t xml:space="preserve"> 3、严格遵守咸阳市关于控制扬尘污染、治污减霾的相关规定，并承担一切安全事故或违规处罚所带来的经济及法律责任。</w:t>
            </w:r>
            <w:r>
              <w:br/>
            </w:r>
            <w:r>
              <w:rPr>
                <w:rFonts w:ascii="仿宋_GB2312" w:hAnsi="仿宋_GB2312" w:cs="仿宋_GB2312" w:eastAsia="仿宋_GB2312"/>
              </w:rPr>
              <w:t xml:space="preserve"> 4、在施工前，承包方应制定施工方案，提出具体的防尘抑尘降尘降噪等环保措施，配备足够的防尘抑尘降尘软硬件设施，明确具体的环保要求和环保责任人、制定湿法降尘专项实施方案，并按有关标准及专项实施方案实施湿法作业，有效降尘作业，造成扬尘污染的，必须服从相关监督或管理部门发出的责令整改并接受其按有关规定进行的处理。</w:t>
            </w:r>
            <w:r>
              <w:br/>
            </w:r>
            <w:r>
              <w:rPr>
                <w:rFonts w:ascii="仿宋_GB2312" w:hAnsi="仿宋_GB2312" w:cs="仿宋_GB2312" w:eastAsia="仿宋_GB2312"/>
              </w:rPr>
              <w:t xml:space="preserve"> 承包方在垃圾外运中应严格遵守淳化县关于治污减霾相关规定，服从采购人相关部门管理，严格做好治污减霾工作。</w:t>
            </w:r>
            <w:r>
              <w:br/>
            </w:r>
            <w:r>
              <w:rPr>
                <w:rFonts w:ascii="仿宋_GB2312" w:hAnsi="仿宋_GB2312" w:cs="仿宋_GB2312" w:eastAsia="仿宋_GB2312"/>
              </w:rPr>
              <w:t xml:space="preserve"> 5、承包方必须严格按照治污减霾工作要求，完成施工出入口、洗车台、监控、环境监测设备等设施施工、安装，负责场内垃圾，裸露黄土覆盖、道路冲洗等工作，并承担相关费用，同时，需根据政府相关部门要求，完成拆除、渣土和垃圾外运相关手续办理后方可进场施工。施工过程中，应无条件响应各级管理部门，采购人各项管理规定，要求停工时必须立即停工，如因承包方私自作业，不按要求施工等情况由承包方承担全部责任，由此产生的全部费用由承包方承担。</w:t>
            </w:r>
            <w:r>
              <w:br/>
            </w:r>
            <w:r>
              <w:rPr>
                <w:rFonts w:ascii="仿宋_GB2312" w:hAnsi="仿宋_GB2312" w:cs="仿宋_GB2312" w:eastAsia="仿宋_GB2312"/>
              </w:rPr>
              <w:t xml:space="preserve"> 6、承包方负责现场安全管理工作，并承担全部责任及由此产生的全部费用，现场人员由承包方按照相关规定办理相关保险事宜。</w:t>
            </w:r>
            <w:r>
              <w:br/>
            </w:r>
            <w:r>
              <w:rPr>
                <w:rFonts w:ascii="仿宋_GB2312" w:hAnsi="仿宋_GB2312" w:cs="仿宋_GB2312" w:eastAsia="仿宋_GB2312"/>
                <w:b/>
              </w:rPr>
              <w:t>六、商务要求</w:t>
            </w:r>
            <w:r>
              <w:br/>
            </w:r>
            <w:r>
              <w:rPr>
                <w:rFonts w:ascii="仿宋_GB2312" w:hAnsi="仿宋_GB2312" w:cs="仿宋_GB2312" w:eastAsia="仿宋_GB2312"/>
              </w:rPr>
              <w:t xml:space="preserve"> （一）付款方式：</w:t>
            </w:r>
            <w:r>
              <w:br/>
            </w:r>
            <w:r>
              <w:rPr>
                <w:rFonts w:ascii="仿宋_GB2312" w:hAnsi="仿宋_GB2312" w:cs="仿宋_GB2312" w:eastAsia="仿宋_GB2312"/>
              </w:rPr>
              <w:t xml:space="preserve"> 预付款：签订合同后，人员材料进场，达到付款条件起10个⼯作⽇内，⽀付合同总⾦额的40%； </w:t>
            </w:r>
            <w:r>
              <w:br/>
            </w:r>
            <w:r>
              <w:rPr>
                <w:rFonts w:ascii="仿宋_GB2312" w:hAnsi="仿宋_GB2312" w:cs="仿宋_GB2312" w:eastAsia="仿宋_GB2312"/>
              </w:rPr>
              <w:t xml:space="preserve"> 进度款：⼯程竣⼯验收合格后，达到付款条件起10个⼯作⽇内，⽀付合同总⾦额的40%； </w:t>
            </w:r>
            <w:r>
              <w:br/>
            </w:r>
            <w:r>
              <w:rPr>
                <w:rFonts w:ascii="仿宋_GB2312" w:hAnsi="仿宋_GB2312" w:cs="仿宋_GB2312" w:eastAsia="仿宋_GB2312"/>
              </w:rPr>
              <w:t xml:space="preserve"> 其他：结算审计后，达到付款条件起10个⼯作⽇内，⽀付合同总⾦额的20%。</w:t>
            </w:r>
            <w:r>
              <w:br/>
            </w:r>
            <w:r>
              <w:rPr>
                <w:rFonts w:ascii="仿宋_GB2312" w:hAnsi="仿宋_GB2312" w:cs="仿宋_GB2312" w:eastAsia="仿宋_GB2312"/>
              </w:rPr>
              <w:t xml:space="preserve"> （二）结算方式：付款之前，乙方开具与待付款金额等额的正式增值税专用发票至甲方。</w:t>
            </w:r>
            <w:r>
              <w:br/>
            </w:r>
            <w:r>
              <w:rPr>
                <w:rFonts w:ascii="仿宋_GB2312" w:hAnsi="仿宋_GB2312" w:cs="仿宋_GB2312" w:eastAsia="仿宋_GB2312"/>
              </w:rPr>
              <w:t xml:space="preserve"> （三）支付方式：银行转账。</w:t>
            </w:r>
            <w:r>
              <w:br/>
            </w:r>
            <w:r>
              <w:rPr>
                <w:rFonts w:ascii="仿宋_GB2312" w:hAnsi="仿宋_GB2312" w:cs="仿宋_GB2312" w:eastAsia="仿宋_GB2312"/>
              </w:rPr>
              <w:t xml:space="preserve"> （四）质量要求：</w:t>
            </w:r>
            <w:r>
              <w:br/>
            </w:r>
            <w:r>
              <w:rPr>
                <w:rFonts w:ascii="仿宋_GB2312" w:hAnsi="仿宋_GB2312" w:cs="仿宋_GB2312" w:eastAsia="仿宋_GB2312"/>
              </w:rPr>
              <w:t xml:space="preserve"> 工程质量符合合格标准。</w:t>
            </w:r>
            <w:r>
              <w:br/>
            </w:r>
            <w:r>
              <w:rPr>
                <w:rFonts w:ascii="仿宋_GB2312" w:hAnsi="仿宋_GB2312" w:cs="仿宋_GB2312" w:eastAsia="仿宋_GB2312"/>
              </w:rPr>
              <w:t xml:space="preserve"> （五）质量保修期：</w:t>
            </w:r>
            <w:r>
              <w:br/>
            </w:r>
            <w:r>
              <w:rPr>
                <w:rFonts w:ascii="仿宋_GB2312" w:hAnsi="仿宋_GB2312" w:cs="仿宋_GB2312" w:eastAsia="仿宋_GB2312"/>
              </w:rPr>
              <w:t xml:space="preserve"> 详见合同附件1：工程质量保修书。</w:t>
            </w:r>
            <w:r>
              <w:br/>
            </w:r>
            <w:r>
              <w:rPr>
                <w:rFonts w:ascii="仿宋_GB2312" w:hAnsi="仿宋_GB2312" w:cs="仿宋_GB2312" w:eastAsia="仿宋_GB2312"/>
              </w:rPr>
              <w:t xml:space="preserve"> （六）售后质保及响应时效</w:t>
            </w:r>
            <w:r>
              <w:br/>
            </w:r>
            <w:r>
              <w:rPr>
                <w:rFonts w:ascii="仿宋_GB2312" w:hAnsi="仿宋_GB2312" w:cs="仿宋_GB2312" w:eastAsia="仿宋_GB2312"/>
              </w:rPr>
              <w:t xml:space="preserve"> （1）质保期：验收合格后24个月。</w:t>
            </w:r>
            <w:r>
              <w:br/>
            </w:r>
            <w:r>
              <w:rPr>
                <w:rFonts w:ascii="仿宋_GB2312" w:hAnsi="仿宋_GB2312" w:cs="仿宋_GB2312" w:eastAsia="仿宋_GB2312"/>
              </w:rPr>
              <w:t xml:space="preserve"> （2）响应时效：即时响应(包括电话响应)；电话响应无法解决 24小时内到达现场。修复时间 48 小时内解决;如 48 小时内无法修复，应提供相应解决方案。</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本项目报价不得超过最高限价，报价超过最高限价的供应商，按无效标处理。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1.其他补充事宜 1.1、落实政府采购政策： 1.1.1《关于进一步加大政府采购支持中小企业力度的通知》（财库〔2022〕19号）、《政府采购促进中小企业发展管理办法》（财库〔2020〕46号）、《财政部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1.1.2《国务院办公厅关于建立政府强制采购节能产品制度的通知》（国办发〔2007〕51号）、《财政部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1.1.3《关于运用政府采购政策支持乡村产业振兴的通知》（财库〔2021〕19 号）、《关于印发&lt;关于深入开展政府采购脱贫地区农副产品工作推进乡村产业振兴的实施意见&gt;的通知》（财库〔2021〕20 号）。 1.1.4《国家互联网信息办公室 工业和信息化部 公安部 财政部 国家认证认可监督管理委员会关于调整网络安全专用产品安全管理有关事项的公告》（2023年第1号）。 1.1.5《陕西省财政厅关于加快推进我省中小企业政府采购信用融资工作的通知》（陕财办采〔2020〕15 号）、《陕西省财政厅关于印发&lt;陕西省中小企业政府采购信用融资办法&gt;的通知》（陕财办采〔2018〕23 号）。 1.1.6《关于扩大政府采购支持绿色建材促进建筑品质提升政策实施范围的通知》（财库〔2022〕35号）、《财政部办公厅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工业和信息化部办公厅关于印发&lt;政府采购支持绿色建材促进建筑品质提升政策项目实施指南&gt;的通知》（财办库〔2023〕52号）。 1.1.7《国务院办公厅关于在政府采购中实施本国产品标准及相关政策的通知》（国办发〔2025〕34号）。 若享受以上政策优惠的企业，提供相应声明函或品目清单范围内产品的有效认证证书或相关证明。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财务状况报告：提供（1）或提供（2）：（1）提供2024年或2025年任意一个年度经审计的财务报告，应满足以下要求：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①资信证明须为递交投标文件截止时间前三个月内由供应商基本账户开户银行出具（须提供基本开户信息）。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“信用中国” 网站和中国政府采购网查询记录</w:t>
            </w:r>
          </w:p>
        </w:tc>
        <w:tc>
          <w:tcPr>
            <w:tcW w:type="dxa" w:w="3322"/>
          </w:tcPr>
          <w:p>
            <w:pPr>
              <w:pStyle w:val="null3"/>
            </w:pPr>
            <w:r>
              <w:rPr>
                <w:rFonts w:ascii="仿宋_GB2312" w:hAnsi="仿宋_GB2312" w:cs="仿宋_GB2312" w:eastAsia="仿宋_GB2312"/>
              </w:rPr>
              <w:t>供应商在递交磋商响应文件截止时间前被“信用中国”网站（www.creditchina.gov.cn）和中国政府采购网（www.ccgp.gov.cn）上被列入失信被执行人、重大税收违法失信主体、政府采购严重违法失信行为记录名单的，不得参加磋商（以磋商资格审查时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应授权合法的人员参加磋商全过程，其中法定代表人或其他组织负责人直接参加磋商的，须出具法人身份证，并与营业执照上信息一致，或其他组织负责人身份证。授权代表参加磋商的，须出具法定代表人或其他组织负责人授权书及授权代表身份证、授权代表本单位证明（劳动合同或养老保险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供应商具备建设行政部门核发的建筑工程施工总承包三级及以上资质，且具备有效的安全生产许可证。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拟派项目经理资质及专业要求</w:t>
            </w:r>
          </w:p>
        </w:tc>
        <w:tc>
          <w:tcPr>
            <w:tcW w:type="dxa" w:w="3322"/>
          </w:tcPr>
          <w:p>
            <w:pPr>
              <w:pStyle w:val="null3"/>
            </w:pPr>
            <w:r>
              <w:rPr>
                <w:rFonts w:ascii="仿宋_GB2312" w:hAnsi="仿宋_GB2312" w:cs="仿宋_GB2312" w:eastAsia="仿宋_GB2312"/>
              </w:rPr>
              <w:t>供应商拟派项目经理具备建筑工程专业二级及以上注册建造师执业资格，具有有效的安全生产考核合格证（建安B证），且在本单位注册；未担任其他在建工程项目的项目经理，提供无在建工程承诺书。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参与供应商为非联合体（提供声明函）。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评审中出现下列情形之一的，磋商小组应当启动异常低价投标审查程序：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④磋商小组基于专业判断，认为供应商报价过低，有可能影响产品质量或者不能诚信履约的其他情形。 相关法律法规对供应商报价有规定的，从其规定。 磋商小组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磋商小组应当将其作为无效投标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按磋商文件要求加盖了供应商公章和有法定代表人或其授权代表签字或加盖人名章。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残疾人福利性单位声明函 报价函 磋商方案或技术方案.docx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未超出采购预算和最高限价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w:t>
            </w:r>
          </w:p>
        </w:tc>
        <w:tc>
          <w:tcPr>
            <w:tcW w:type="dxa" w:w="1661"/>
          </w:tcPr>
          <w:p>
            <w:pPr>
              <w:pStyle w:val="null3"/>
            </w:pPr>
            <w:r>
              <w:rPr>
                <w:rFonts w:ascii="仿宋_GB2312" w:hAnsi="仿宋_GB2312" w:cs="仿宋_GB2312" w:eastAsia="仿宋_GB2312"/>
              </w:rPr>
              <w:t>技术服务合同条款及其他商务要求应答表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供应商不得提交两份或者多份内容不同的响应文件，或者在同一份响应文件中对同一磋商项目有两个或者多个报价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供应商提供的文件无实质性遗漏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残疾人福利性单位声明函 报价函 磋商方案或技术方案.docx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符合“磋商项目技术、服务、商务及其他要求”要求，无重大偏差</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技术服务合同条款及其他商务要求应答表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残疾人福利性单位声明函 报价函 磋商方案或技术方案.docx 标的清单 供应商类似项目业绩一览表 响应函 主要人员简历表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项目整体施工方案及保证措施</w:t>
            </w:r>
          </w:p>
        </w:tc>
        <w:tc>
          <w:tcPr>
            <w:tcW w:type="dxa" w:w="2492"/>
          </w:tcPr>
          <w:p>
            <w:pPr>
              <w:pStyle w:val="null3"/>
            </w:pPr>
            <w:r>
              <w:rPr>
                <w:rFonts w:ascii="仿宋_GB2312" w:hAnsi="仿宋_GB2312" w:cs="仿宋_GB2312" w:eastAsia="仿宋_GB2312"/>
              </w:rPr>
              <w:t>针对本项目提供项目整体施工方案及保证措施，基于工程特点编制总体施工部署与流程，明确现场组织架构。 1.施工方案完整全面，结合工程特点编制的总体施工部署与流程科学合理，现场组织架构清晰、职责明确，保证措施针对性强且切实可行的，得12分； 2.施工方案较完整，施工部署与流程较合理，现场组织架构较明确，保证措施可行的，得8分； 3.施工方案基本完整，施工部署与流程基本合理，现场组织架构基本清晰，保证措施基本可行的，得5分； 4.施工方案内容较简单，施工部署与流程存在不足，现场组织架构不完整，保证措施针对性不强的，得2分； 5.施工方案内容简单、缺乏针对性，施工部署与流程不合理，现场组织架构不清晰，无有效保证措施的，得1分； 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针对本项目提供质量保证措施计划，明确质量目标、质量管理体系。 1.质量目标明确，质量管理体系健全，措施全面且可落地的，得10分； 2.质量目标基本明确，管理体系基本健全，措施基本可行的，得7分； 3.质量目标不明确，管理体系不完善，措施不足的，得3分； 4.无质量目标，管理体系内容缺失，无有效质量保障措施的，得1分；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确保安全施工、文明施工和环境保护措施</w:t>
            </w:r>
          </w:p>
        </w:tc>
        <w:tc>
          <w:tcPr>
            <w:tcW w:type="dxa" w:w="2492"/>
          </w:tcPr>
          <w:p>
            <w:pPr>
              <w:pStyle w:val="null3"/>
            </w:pPr>
            <w:r>
              <w:rPr>
                <w:rFonts w:ascii="仿宋_GB2312" w:hAnsi="仿宋_GB2312" w:cs="仿宋_GB2312" w:eastAsia="仿宋_GB2312"/>
              </w:rPr>
              <w:t>针对本项目提供安全施工、文明施工和环境保护措施计划，建立安全生产责任制，安全管理方案。 1.安全、文明施工计划全面，组织措施科学合理，环境卫生管理制度完善，责任清晰、措施到位的，得10分； 2.安全、文明施工计划全面，组织措施基本科学合理，环境卫生管理制度较完善，责任有划分、措施基本可行的，得7分； 3.安全、文明施工计划不全面，组织措施不足的，环境卫生管理制度不完善，保证措施不足的，得3分； 4.确保安全、文明施工的技术组织措施及施工环境保护措施提供内容不全或内容简单有欠缺，无有效保证措施的，得1分。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针对本项目提供施工总进度计划及保障措施，依据招标文件工期，编制科学合理的进度计划，明确关键节点。 1.进度计划科学合理，有保证工期、按时竣工的具体措施得当的，得 10分； 2.进度计划基本合理，保证工期、按时竣工的措施内容基本合理的，得 7分； 3.进度计划不合理，工期保障措施不足的，保证措施不足的，得3分； 4.进度计划含糊或合理性不足，工期保障措施内容不全或内容简单有欠缺，无有效保证措施的，得1分；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针对本项目提供施工机械配备和材料投入计划，根据工艺需求配备工程设备，明确型号、数量及进场维护计划。 1.施工机械配备详细具体，型号、数量及进场维护计划完全匹配工艺需求，科学合理的，得8分； 2.施工机械配备满足工艺需求，型号、数量及进场维护计划满足工艺需求的，得5分； 3.施工机械配备基本满足工艺需求，型号、数量及进场维护计划基本满足工艺需求的，得3分； 4.施工机械配备存在明显不足，型号、数量及进场维护计划模糊或不贴合工艺需求的，得1分；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建设性意见及相关服务承诺</w:t>
            </w:r>
          </w:p>
        </w:tc>
        <w:tc>
          <w:tcPr>
            <w:tcW w:type="dxa" w:w="2492"/>
          </w:tcPr>
          <w:p>
            <w:pPr>
              <w:pStyle w:val="null3"/>
            </w:pPr>
            <w:r>
              <w:rPr>
                <w:rFonts w:ascii="仿宋_GB2312" w:hAnsi="仿宋_GB2312" w:cs="仿宋_GB2312" w:eastAsia="仿宋_GB2312"/>
              </w:rPr>
              <w:t>针对本项目工期和实施地点特殊性，提供施工的相关建设性意见、措施和相关服务承诺。 1.针对本项目施工的建设性意见及服务措施承诺详尽、合理，切实可行的，得8分； 2.针对本项目施工的建设性意见及服务措施承诺较详尽、合理，基本可行的，得5分； 3.针对本项目施工的建设性意见及服务措施承诺简单，针对性一般，得3分； 4.针对本项目施工的建设性意见及服务措施承诺欠缺，不切合实际的，得1分。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项目经理部组成</w:t>
            </w:r>
          </w:p>
        </w:tc>
        <w:tc>
          <w:tcPr>
            <w:tcW w:type="dxa" w:w="2492"/>
          </w:tcPr>
          <w:p>
            <w:pPr>
              <w:pStyle w:val="null3"/>
            </w:pPr>
            <w:r>
              <w:rPr>
                <w:rFonts w:ascii="仿宋_GB2312" w:hAnsi="仿宋_GB2312" w:cs="仿宋_GB2312" w:eastAsia="仿宋_GB2312"/>
              </w:rPr>
              <w:t>针对本项目提供项目组织管理机构及劳动力安排计划，明确岗位职责及持证上岗要求。 1.管理机构设置完整，岗位职责清晰，持证上岗要求规范，劳动力安排科学合理的，得6分； 2.管理机构设置基本完整，岗位职责基本明确，有持证上岗要求，劳动力安排计划基本合理的，得3分； 3.管理机构设置不全，岗位职责不清晰，人员配置计划不合理或缺失的，得1分；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提供（2021年1月1日至今）类似项目业绩，以合同为准。每提供一项得2分，最高得6分。 评审依据：以供应商加盖公章的复印件或扫描件为准。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磋商方案或技术方案.docx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满足磋商文件要求且最终磋商报价最低的为基准价，其价格分为满分。其他磋商供应商的价格分统一按照下列公式计算：最终磋商报价得分=（基准价/最终磋商报价）×30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详见附件：磋商方案或技术方案.docx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