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9144D">
      <w:pPr>
        <w:pStyle w:val="9"/>
        <w:keepNext w:val="0"/>
        <w:keepLines w:val="0"/>
        <w:pageBreakBefore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 拟签订采购合同文本</w:t>
      </w:r>
    </w:p>
    <w:p w14:paraId="6761CF14">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甲方：（前款所称采购人）                           住所：</w:t>
      </w:r>
      <w:r>
        <w:rPr>
          <w:rFonts w:hint="eastAsia" w:ascii="宋体" w:hAnsi="宋体" w:eastAsia="宋体" w:cs="宋体"/>
          <w:color w:val="auto"/>
          <w:kern w:val="0"/>
          <w:sz w:val="24"/>
          <w:szCs w:val="24"/>
          <w:highlight w:val="none"/>
          <w:u w:val="single"/>
        </w:rPr>
        <w:t xml:space="preserve">                         </w:t>
      </w:r>
    </w:p>
    <w:p w14:paraId="487D6E16">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乙方：（前款所称成交供应商）                       住所：</w:t>
      </w:r>
      <w:r>
        <w:rPr>
          <w:rFonts w:hint="eastAsia" w:ascii="宋体" w:hAnsi="宋体" w:eastAsia="宋体" w:cs="宋体"/>
          <w:color w:val="auto"/>
          <w:kern w:val="0"/>
          <w:sz w:val="24"/>
          <w:szCs w:val="24"/>
          <w:highlight w:val="none"/>
          <w:u w:val="single"/>
        </w:rPr>
        <w:t xml:space="preserve">                         </w:t>
      </w:r>
    </w:p>
    <w:p w14:paraId="3C274A7B">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24"/>
          <w:szCs w:val="24"/>
          <w:highlight w:val="none"/>
        </w:rPr>
        <w:t>一、合同内容（标的、数量、质量等）</w:t>
      </w:r>
      <w:r>
        <w:rPr>
          <w:rFonts w:hint="eastAsia" w:ascii="宋体" w:hAnsi="宋体" w:eastAsia="宋体" w:cs="宋体"/>
          <w:color w:val="auto"/>
          <w:kern w:val="0"/>
          <w:sz w:val="24"/>
          <w:szCs w:val="24"/>
          <w:highlight w:val="none"/>
        </w:rPr>
        <w:t>：</w:t>
      </w:r>
    </w:p>
    <w:p w14:paraId="540C0057">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color w:val="auto"/>
          <w:kern w:val="0"/>
          <w:sz w:val="24"/>
          <w:szCs w:val="24"/>
          <w:highlight w:val="none"/>
          <w:lang w:val="en-US" w:eastAsia="zh-CN"/>
        </w:rPr>
      </w:pPr>
      <w:r>
        <w:rPr>
          <w:rFonts w:hint="eastAsia" w:ascii="宋体" w:hAnsi="宋体" w:eastAsia="宋体" w:cs="宋体"/>
          <w:b/>
          <w:color w:val="auto"/>
          <w:kern w:val="0"/>
          <w:sz w:val="24"/>
          <w:szCs w:val="24"/>
          <w:highlight w:val="none"/>
        </w:rPr>
        <w:t>二、合同价款</w:t>
      </w:r>
    </w:p>
    <w:p w14:paraId="4DD41FD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1、合同</w:t>
      </w:r>
      <w:r>
        <w:rPr>
          <w:rFonts w:hint="eastAsia" w:ascii="宋体" w:hAnsi="宋体" w:eastAsia="宋体" w:cs="宋体"/>
          <w:color w:val="auto"/>
          <w:kern w:val="0"/>
          <w:sz w:val="24"/>
          <w:szCs w:val="24"/>
          <w:highlight w:val="none"/>
          <w:lang w:val="en-US" w:eastAsia="zh-CN"/>
        </w:rPr>
        <w:t>总价:</w:t>
      </w:r>
      <w:r>
        <w:rPr>
          <w:rFonts w:hint="eastAsia" w:ascii="宋体" w:hAnsi="宋体" w:eastAsia="宋体" w:cs="宋体"/>
          <w:color w:val="auto"/>
          <w:kern w:val="0"/>
          <w:sz w:val="24"/>
          <w:szCs w:val="24"/>
          <w:highlight w:val="none"/>
          <w:u w:val="single"/>
          <w:lang w:val="en-US" w:eastAsia="zh-CN"/>
        </w:rPr>
        <w:t xml:space="preserve">             </w:t>
      </w:r>
      <w:bookmarkStart w:id="0" w:name="_GoBack"/>
      <w:bookmarkEnd w:id="0"/>
    </w:p>
    <w:p w14:paraId="58D4710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本项目为全费用综合包干报价，报价包含：人工、设施设备主材辅材、检测仪器使用费、车辆燃油、交通防护物资、占道手续办理费用、垃圾清运、废旧物资处置、安全防护、水费、电费、培训、税费、管理费、利润、应急值守、保险、资料编制等一切费用，采购人不再支付任何额外费用。</w:t>
      </w:r>
    </w:p>
    <w:p w14:paraId="356F647A">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三、合同结算</w:t>
      </w:r>
    </w:p>
    <w:p w14:paraId="60F38DF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1、付款方式：</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w:t>
      </w:r>
    </w:p>
    <w:p w14:paraId="32C9776C">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2、结算方式：银行转账。</w:t>
      </w:r>
    </w:p>
    <w:p w14:paraId="6162B20C">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3、结算单位：乙方开具合同总价数的全额发票交采购人。</w:t>
      </w:r>
    </w:p>
    <w:p w14:paraId="73720FE5">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四、工期、地点</w:t>
      </w:r>
      <w:r>
        <w:rPr>
          <w:rFonts w:hint="eastAsia" w:ascii="宋体" w:hAnsi="宋体" w:eastAsia="宋体" w:cs="宋体"/>
          <w:b/>
          <w:color w:val="auto"/>
          <w:kern w:val="0"/>
          <w:sz w:val="24"/>
          <w:szCs w:val="24"/>
          <w:highlight w:val="none"/>
          <w:lang w:eastAsia="zh-CN"/>
        </w:rPr>
        <w:t>、工程质量、</w:t>
      </w:r>
      <w:r>
        <w:rPr>
          <w:rFonts w:hint="eastAsia" w:ascii="宋体" w:hAnsi="宋体" w:eastAsia="宋体" w:cs="宋体"/>
          <w:b/>
          <w:color w:val="auto"/>
          <w:kern w:val="0"/>
          <w:sz w:val="24"/>
          <w:szCs w:val="24"/>
          <w:highlight w:val="none"/>
        </w:rPr>
        <w:t>质保期：</w:t>
      </w:r>
    </w:p>
    <w:p w14:paraId="6B88F29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eastAsia="zh-CN"/>
        </w:rPr>
        <w:t>工期</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lang w:val="en-US" w:eastAsia="zh-CN"/>
        </w:rPr>
        <w:t xml:space="preserve">           </w:t>
      </w:r>
    </w:p>
    <w:p w14:paraId="7BF665CC">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eastAsia="zh-CN"/>
        </w:rPr>
        <w:t>项目地点：采购人指定地点</w:t>
      </w:r>
    </w:p>
    <w:p w14:paraId="3F3C2E6C">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lang w:val="en-US" w:eastAsia="zh-CN"/>
        </w:rPr>
        <w:t>3、工程质量：</w:t>
      </w:r>
      <w:r>
        <w:rPr>
          <w:rFonts w:hint="eastAsia" w:ascii="宋体" w:hAnsi="宋体" w:eastAsia="宋体" w:cs="宋体"/>
          <w:color w:val="auto"/>
          <w:kern w:val="0"/>
          <w:sz w:val="24"/>
          <w:szCs w:val="24"/>
          <w:highlight w:val="none"/>
          <w:u w:val="single"/>
          <w:lang w:val="en-US" w:eastAsia="zh-CN"/>
        </w:rPr>
        <w:t xml:space="preserve">        </w:t>
      </w:r>
    </w:p>
    <w:p w14:paraId="408BCBF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lang w:val="en-US" w:eastAsia="zh-CN"/>
        </w:rPr>
        <w:t>4、质保期：</w:t>
      </w:r>
      <w:r>
        <w:rPr>
          <w:rFonts w:hint="eastAsia" w:ascii="宋体" w:hAnsi="宋体" w:eastAsia="宋体" w:cs="宋体"/>
          <w:color w:val="auto"/>
          <w:kern w:val="0"/>
          <w:sz w:val="24"/>
          <w:szCs w:val="24"/>
          <w:highlight w:val="none"/>
          <w:u w:val="single"/>
          <w:lang w:val="en-US" w:eastAsia="zh-CN"/>
        </w:rPr>
        <w:t xml:space="preserve">         </w:t>
      </w:r>
    </w:p>
    <w:p w14:paraId="4522815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5、本项目履约保证金金额：</w:t>
      </w:r>
      <w:r>
        <w:rPr>
          <w:rFonts w:hint="eastAsia" w:ascii="宋体" w:hAnsi="宋体" w:eastAsia="宋体" w:cs="宋体"/>
          <w:color w:val="auto"/>
          <w:kern w:val="0"/>
          <w:sz w:val="24"/>
          <w:szCs w:val="24"/>
          <w:highlight w:val="none"/>
          <w:u w:val="single"/>
          <w:lang w:val="en-US" w:eastAsia="zh-CN"/>
        </w:rPr>
        <w:t xml:space="preserve">   合同总价款10%   </w:t>
      </w:r>
      <w:r>
        <w:rPr>
          <w:rFonts w:hint="eastAsia" w:ascii="宋体" w:hAnsi="宋体" w:eastAsia="宋体" w:cs="宋体"/>
          <w:color w:val="auto"/>
          <w:kern w:val="0"/>
          <w:sz w:val="24"/>
          <w:szCs w:val="24"/>
          <w:highlight w:val="none"/>
          <w:lang w:val="en-US" w:eastAsia="zh-CN"/>
        </w:rPr>
        <w:t xml:space="preserve"> </w:t>
      </w:r>
    </w:p>
    <w:p w14:paraId="51B86F9B">
      <w:pPr>
        <w:keepNext w:val="0"/>
        <w:keepLines w:val="0"/>
        <w:pageBreakBefore w:val="0"/>
        <w:widowControl w:val="0"/>
        <w:kinsoku/>
        <w:wordWrap/>
        <w:overflowPunct/>
        <w:topLinePunct w:val="0"/>
        <w:autoSpaceDE w:val="0"/>
        <w:autoSpaceDN w:val="0"/>
        <w:bidi w:val="0"/>
        <w:adjustRightInd w:val="0"/>
        <w:spacing w:line="360" w:lineRule="auto"/>
        <w:ind w:firstLine="960" w:firstLineChars="4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提交方式:担保机构保函</w:t>
      </w:r>
    </w:p>
    <w:p w14:paraId="5AC006EE">
      <w:pPr>
        <w:keepNext w:val="0"/>
        <w:keepLines w:val="0"/>
        <w:pageBreakBefore w:val="0"/>
        <w:widowControl w:val="0"/>
        <w:kinsoku/>
        <w:wordWrap/>
        <w:overflowPunct/>
        <w:topLinePunct w:val="0"/>
        <w:autoSpaceDE w:val="0"/>
        <w:autoSpaceDN w:val="0"/>
        <w:bidi w:val="0"/>
        <w:adjustRightInd w:val="0"/>
        <w:spacing w:line="360" w:lineRule="auto"/>
        <w:ind w:firstLine="960" w:firstLineChars="4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提交时间：签订合同前</w:t>
      </w:r>
    </w:p>
    <w:p w14:paraId="2D99E754">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五、甲方工作</w:t>
      </w:r>
    </w:p>
    <w:p w14:paraId="56547925">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1.开工前三天，向乙方提供经确认的施工图纸和作法说明，并向乙方进行现场交底,向乙方有偿提供施工所需的水、电。</w:t>
      </w:r>
    </w:p>
    <w:p w14:paraId="10B711D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2.如确实需要拆改原建筑物结构或设备管线，应依据设计部门提供的图纸或方案。</w:t>
      </w:r>
    </w:p>
    <w:p w14:paraId="061B9BC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3、甲方委派施工监理管理本项目。</w:t>
      </w:r>
    </w:p>
    <w:p w14:paraId="5BA327BE">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六、乙方工作</w:t>
      </w:r>
    </w:p>
    <w:p w14:paraId="73C38FD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1.参加甲方组织的施工图纸或作法说明的现场交底，拟定施工方案和进度计划，于前交甲方审定，通过后方可实施。</w:t>
      </w:r>
    </w:p>
    <w:p w14:paraId="4A14C7C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2.指派</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为乙方驻工地代表，负责合同履行。乙方应按要求组织施工，保质、保量、按期完成施工任务，解决由乙方负责的各项事宜。</w:t>
      </w:r>
    </w:p>
    <w:p w14:paraId="49B4015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3.严格执行施工规范、安全操作规程、防火安全规定、环境保护规定。严格按照图纸或做法说明进行施工，做好各项质量检查记录。参加竣工验收，编制工程结算。</w:t>
      </w:r>
    </w:p>
    <w:p w14:paraId="7077F215">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4.遵守国家或地方政府及有关部门对施工现场管理的规定，做好施工现场保卫和垃圾消纳等工作。</w:t>
      </w:r>
    </w:p>
    <w:p w14:paraId="2622954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5.施工中未经甲方书面同意或有关部门批准，不得随意拆改原建筑物结构及各种设备管线。</w:t>
      </w:r>
    </w:p>
    <w:p w14:paraId="3E5F7A45">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6.工程竣工未移交甲方之前，负责对现场的一切设施和工程成品进行保护；工程竣工移交前，应彻底完成现场的清理工作。</w:t>
      </w:r>
    </w:p>
    <w:p w14:paraId="5738528C">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7.施工过程中不得影响甲方的正常办公，不得违反甲方的相关管理制度。</w:t>
      </w:r>
    </w:p>
    <w:p w14:paraId="39E698F5">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8.施工过程中如发生人身伤亡、财产毁损等安全事故的，乙方负责解决并独自承担全部责任。由此给甲方造成损失的，乙方应负责赔偿，赔偿款由甲方直接从应付合同价款中扣除。</w:t>
      </w:r>
    </w:p>
    <w:p w14:paraId="6877F4C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9.施工单位在进场施工前应挂接水、电表，完工验收后根据水表、电表显示的用水、用电量按照甲方收费标准向甲方缴纳水、电费。</w:t>
      </w:r>
    </w:p>
    <w:p w14:paraId="61DD8F0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10.乙方自行解决关系协调问题。乙方在施工过程中与任何人之间发生的任何纠纷，与甲方一概无关，因协调周边关系产生的一切费用由乙方自行承担。</w:t>
      </w:r>
    </w:p>
    <w:p w14:paraId="13470C6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11.未经甲方同意，乙方不得擅自更换甲方在招标时认定的本工程施工负责人（项目经理）及施工队伍，若出现此类情况，甲方有权终止合同。</w:t>
      </w:r>
    </w:p>
    <w:p w14:paraId="0ADE279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12.乙方未能按响应文件中所列的施工方式、项目经理人选及其他承诺执行时，视</w:t>
      </w:r>
    </w:p>
    <w:p w14:paraId="40529E67">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为违约，甲方有权指正更正，直至终止合同。</w:t>
      </w:r>
    </w:p>
    <w:p w14:paraId="5B5F938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13.施工中或竣工后，如发生因乙方在本项目施工中拖欠工人工资、劳务分包商款项，而向甲方追讨欠款的情况时，均视为乙方违约，甲方有权采取终止合同，向乙方索赔的措施。</w:t>
      </w:r>
    </w:p>
    <w:p w14:paraId="0204C77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14、服从甲方和甲方安排的监理对向项目的管理工作，按监理要求完成资料整理。</w:t>
      </w:r>
    </w:p>
    <w:p w14:paraId="076C15CB">
      <w:pPr>
        <w:keepNext w:val="0"/>
        <w:keepLines w:val="0"/>
        <w:pageBreakBefore w:val="0"/>
        <w:widowControl w:val="0"/>
        <w:kinsoku/>
        <w:wordWrap/>
        <w:overflowPunct/>
        <w:topLinePunct w:val="0"/>
        <w:autoSpaceDE w:val="0"/>
        <w:autoSpaceDN w:val="0"/>
        <w:bidi w:val="0"/>
        <w:adjustRightInd w:val="0"/>
        <w:spacing w:line="360" w:lineRule="auto"/>
        <w:ind w:firstLine="482" w:firstLineChars="200"/>
        <w:jc w:val="left"/>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七、主要</w:t>
      </w:r>
      <w:r>
        <w:rPr>
          <w:rFonts w:hint="eastAsia" w:ascii="宋体" w:hAnsi="宋体" w:eastAsia="宋体" w:cs="宋体"/>
          <w:b/>
          <w:bCs/>
          <w:color w:val="auto"/>
          <w:kern w:val="0"/>
          <w:sz w:val="24"/>
          <w:szCs w:val="24"/>
          <w:highlight w:val="none"/>
        </w:rPr>
        <w:t>工作内容及技术要求</w:t>
      </w:r>
    </w:p>
    <w:p w14:paraId="56112387">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1.通用作业强制要求（所有运维工作必须执行）</w:t>
      </w:r>
    </w:p>
    <w:p w14:paraId="6C4BBA76">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1.1占道与交通组织要求 </w:t>
      </w:r>
    </w:p>
    <w:p w14:paraId="325C2CB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1.1.1所有隧道内作业必须提前向交管、城管报备，取得许可后进场；    </w:t>
      </w:r>
    </w:p>
    <w:p w14:paraId="30D63975">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1.1.2所有作业区域设置标准化围挡警示，提前布设交通疏导设施、安全警示标志、防护设施，夜间作业增设警示灯、反光标识等，安排专人现场交通疏导，引导车辆、行人通行，严格遵守道路交通安全管理规范，严禁违规操作、野蛮施工，杜绝安全事故。</w:t>
      </w:r>
    </w:p>
    <w:p w14:paraId="54F332F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1.1.3日间步行巡查应在侧边安全区开展，检测、断电、大件维修统一安排23:00— 次日6:00 车流低峰时段。执行 “快进、快干、快撤、日清场”，作业完毕全部工具、废料同步清运，不得遗留路面杂物。</w:t>
      </w:r>
    </w:p>
    <w:p w14:paraId="23DF97D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1.2安全作业要求 </w:t>
      </w:r>
    </w:p>
    <w:p w14:paraId="4D51256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1.2.1所有进场人员穿戴高可视反光背心、安全帽、防砸劳保鞋，隧道内配备头灯、对讲通讯设备； </w:t>
      </w:r>
    </w:p>
    <w:p w14:paraId="07F0B39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1.2.3隧道内严禁明火、违规临时用电、随意横穿车道、背对来车作业； </w:t>
      </w:r>
    </w:p>
    <w:p w14:paraId="5260C9A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1.2.3高空、电气、吊装作业人员持对应特种操作证，配备安全带、绝缘工具； </w:t>
      </w:r>
    </w:p>
    <w:p w14:paraId="3510079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1.2.4建立安全交底台账，每次作业前完成风险告知，专职安全员全程现场监督。</w:t>
      </w:r>
    </w:p>
    <w:p w14:paraId="0719189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1.3材料设备通用技术要求</w:t>
      </w:r>
    </w:p>
    <w:p w14:paraId="25E66FC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 1.3.1所有更换灯具、探测器、线缆、灭火器、管材等主材进场须提供合格证、第三方检测报告、厂家资质； </w:t>
      </w:r>
    </w:p>
    <w:p w14:paraId="5EC0FD7D">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1.3.2隧道专用设备必须满足防潮、防尘、抗震、耐尾气腐蚀要求；涂层、防腐、反光膜符合国标使用年限；</w:t>
      </w:r>
    </w:p>
    <w:p w14:paraId="326AB28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1.3.3废旧金属、报废灯具、过期灭火器统一回收合规处置，留存转运记录，不得随意丢弃。</w:t>
      </w:r>
    </w:p>
    <w:p w14:paraId="6277355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1.4台账数字化通用要求 </w:t>
      </w:r>
    </w:p>
    <w:p w14:paraId="1902833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1.4.1中标人进场 7 个工作日内完成 17 座隧道全设备摸排，建立 “一隧道一档、一设备一号” 电子 + 纸质双重档案； </w:t>
      </w:r>
    </w:p>
    <w:p w14:paraId="129920D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1.4.2档案包含：设备位置、型号、出厂日期、维保记录、故障记录、更换台账、检测数据、现场影像； </w:t>
      </w:r>
    </w:p>
    <w:p w14:paraId="722B30B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1.4.3每次巡查、维修、检测完成当日更新数据库，数据真实可追溯，接受招标人随时调阅。</w:t>
      </w:r>
    </w:p>
    <w:p w14:paraId="5EEB7D95">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2.系统运维内容、频次、专项技术要求</w:t>
      </w:r>
    </w:p>
    <w:p w14:paraId="0147CFB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2.1应急照明及疏散指示系统</w:t>
      </w:r>
    </w:p>
    <w:p w14:paraId="26889AAB">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2.1.1维保频次：每周全覆盖外观巡查；每月功能清洁 + 切换测试；每季度照度、充放电深度检测；重大节假日前专项排查。</w:t>
      </w:r>
    </w:p>
    <w:p w14:paraId="5DBC862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2.1.2核心作业内容 ：（1）外观：清除灯具、指示牌油污、蚊虫、灰尘，校正偏移松动设备，修复破损外壳；（2）功能：模拟断电测试主备电切换响应时间，检测持续应急点亮时长；使用专业照度计实测洞内照明亮度，不满足规范立即更换；（3）配电箱：除尘、红外测温排查接线发热点，紧固端子，检测绝缘、接地可靠性；（4）线路：排查老化破皮、受潮短路，修复结露渗水点位防水密封。</w:t>
      </w:r>
    </w:p>
    <w:p w14:paraId="7BCDFD1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2.1.3技术验收标准：（1）断电后应急点亮响应≤0.5s，应急持续供电时长符合 GB51309 标准；（2）洞内疏散通道最低照度满足隧道消防规范要求，无暗区、盲区；（3） LED 指示无断字、频闪，可视距离≥80 米，防水密封完好无进水锈蚀。</w:t>
      </w:r>
    </w:p>
    <w:p w14:paraId="1392FE7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2.2 火焰探测与火灾自动报警系统</w:t>
      </w:r>
    </w:p>
    <w:p w14:paraId="57EE5E3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2.2.1维保频次：每周主机及探测器外观巡检；每月点位校验、故障清零；每季度线路绝缘检测；每半年全系统联动测试。</w:t>
      </w:r>
    </w:p>
    <w:p w14:paraId="4957E77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2.2.2核心作业内容：（1）清洁探测器镜头防尘罩，消除水汽、粉尘遮挡，避免车灯、尾气造成误报；（2）使用专用测试设备模拟火情，校验探测器灵敏度、报警响应速度；（3）报警主机清零历史故障，核对点位地址与现场设备一一对应；（4）全系统联动试验：报警后自动启动应急照明、切换疏散指示信号。</w:t>
      </w:r>
    </w:p>
    <w:p w14:paraId="70E84B0B">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2.2.3技术验收标准：（1）探测器无漏报、误报、延迟报警，故障信号实时上传主机；（2）线路绝缘电阻达标，潮湿隧道增设防潮分线盒；（3）联动逻辑完整，报警后疏散、照明设备同步触发，无系统卡顿、失灵。</w:t>
      </w:r>
    </w:p>
    <w:p w14:paraId="17516E6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2.3消火栓系统</w:t>
      </w:r>
    </w:p>
    <w:p w14:paraId="21991F3D">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2.3.1维保频次：每周箱体外观巡查；每月阀门启闭、配件清点；每季度静压、动压水压检测。</w:t>
      </w:r>
    </w:p>
    <w:p w14:paraId="581B17C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2.3.2核心作业内容：（1）开箱整理水带、水枪，修补老化密封圈，丝杆定期防锈润滑；（2）检测管网压力，排查箱体、接口渗漏，修复锈蚀阀门；（3）清理箱内积水、杂物，修复破损箱体门锁。</w:t>
      </w:r>
    </w:p>
    <w:p w14:paraId="0DAA510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2.3.3技术验收标准：消火栓出水压力、流量满足隧道灭火设计要求，阀门启闭灵活无锈死，配件齐全无缺失。</w:t>
      </w:r>
    </w:p>
    <w:p w14:paraId="0C61233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2.4手提式灭火器系统</w:t>
      </w:r>
    </w:p>
    <w:p w14:paraId="4975B73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2.4.1维保频次：每周全覆盖目视检查；每月逐具压力、有效期核查；节前拉网排查。</w:t>
      </w:r>
    </w:p>
    <w:p w14:paraId="2EF3AE7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2.4.2核心作业内容：（1）核对压力表处于绿色区间，过期、失压、瓶体锈蚀变形立即整体更换；（2）清理遮挡物，复位移位器材，补齐缺失灭火器；（3）箱体除锈清洁，保持取用通畅。</w:t>
      </w:r>
    </w:p>
    <w:p w14:paraId="682598CD">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2.4.3技术验收标准：所有灭火器在有效使用期限内，铅封、喷嘴完好，摆放点位符合消防配置规范。</w:t>
      </w:r>
    </w:p>
    <w:p w14:paraId="10C2BA3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2.5故障维修与 24 小时应急处置要求</w:t>
      </w:r>
    </w:p>
    <w:p w14:paraId="67AAFC5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2.5.1响应时效硬性指标：（1）全年 365 天 24 小时固定电话值班，接招标人报修、故障预警、火情通知后1小时内人员抵达任意隧道现场；（2）一般故障（灯具损坏、指示故障、单具灭火器失效）2 小时内修复闭环； （3）较大系统故障（主机故障、管网漏水、大面积照明失效）24 小时内完成处置恢复功能；（4）重大险情持续跟进，每小时向招标人同步处置进度。</w:t>
      </w:r>
    </w:p>
    <w:p w14:paraId="77D12145">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2.5.2分级处置流程：（1）日常故障：巡查发现当场登记，能现场修复立即处理，无法修复列入夜间错峰维修计划； （2）应急故障：遵循 “先恢复功能、再彻底检修” 原则，临时启用备用设备保障消防功能不中断；（3）隧道火灾协同处置：接到火警后到场配合消防部门人员疏散、消防设备操作、现场警戒，火灾扑灭后全面排查受损消防设施并抢修更换。</w:t>
      </w:r>
    </w:p>
    <w:p w14:paraId="2628374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2.5.3应急人员设备配置要求：中标人常设 2 支应急专班，配备专用维保抢修车辆、高空作业设备、全套检测仪器、充足备用灯具 / 探测器 / 灭火器备件、全套交通防护围挡器材。</w:t>
      </w:r>
    </w:p>
    <w:p w14:paraId="722FA78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2.6专项检测、设备更换与报废处置</w:t>
      </w:r>
    </w:p>
    <w:p w14:paraId="4E8AB0D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2.6.1定期专业检测：严格按照国家消防规范开展季度、半年度、年度功能性检测，出具完整检测报告、记录表等，附原始数值、现场照片；检测仪器须按期第三方校准，提供校准证书。</w:t>
      </w:r>
    </w:p>
    <w:p w14:paraId="4EE2C2D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2.6.2设备更换要求：达到使用年限、检测不合格、破损无法修复的设施强制更换；更换同规格或优于原设计隧道专用防潮款，安装完成调试验收后方可销项；所有更换记录实时录入设备台账，主动向招标人报备。</w:t>
      </w:r>
    </w:p>
    <w:p w14:paraId="37D7C855">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2.6.3废料清运处置：运维产生废旧灯具、报废灭火器、锈蚀管材、建筑垃圾统一密闭车辆清运至合规消纳点，留存处置凭证，不得污染隧道路面、周边环境。</w:t>
      </w:r>
    </w:p>
    <w:p w14:paraId="41B713C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2.7演练、迎检及配套服务要求</w:t>
      </w:r>
    </w:p>
    <w:p w14:paraId="17048755">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2.7.1消防应急演练配合：按招标人需求每年度配合组织隧道火灾综合演练1至2次；中标人负责演练方案编制、设备操作、现场技术保障，演练结束 3 个工作日内提交演练总结、影像全套资料。</w:t>
      </w:r>
    </w:p>
    <w:p w14:paraId="4EC87AF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2.7.2检查保障：接到消防、住建、城管等各级部门检查通知后，24 小时内完成隧道全系统自查自纠，整理完整运维台账协同配合检查；对检查出具的隐患清单建立整改台账，限期闭环并提交整改资料。</w:t>
      </w:r>
    </w:p>
    <w:p w14:paraId="411A6E2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2.7.3 总结城市隧道消防设施运维特点，结合相应规范的要求，编制《西安市城市隧道消防设施运维指南》，形成管理性技术参考文件。</w:t>
      </w:r>
    </w:p>
    <w:p w14:paraId="766E9DE5">
      <w:pPr>
        <w:pStyle w:val="6"/>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九、资料报送、档案管理要求</w:t>
      </w:r>
    </w:p>
    <w:p w14:paraId="2C125518">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val="0"/>
          <w:bCs/>
          <w:color w:val="auto"/>
          <w:kern w:val="0"/>
          <w:sz w:val="24"/>
          <w:szCs w:val="24"/>
          <w:highlight w:val="none"/>
          <w:lang w:val="en-US" w:eastAsia="zh-CN"/>
        </w:rPr>
      </w:pPr>
      <w:r>
        <w:rPr>
          <w:rFonts w:hint="eastAsia" w:ascii="宋体" w:hAnsi="宋体" w:eastAsia="宋体" w:cs="宋体"/>
          <w:b w:val="0"/>
          <w:bCs/>
          <w:color w:val="auto"/>
          <w:kern w:val="0"/>
          <w:sz w:val="24"/>
          <w:szCs w:val="24"/>
          <w:highlight w:val="none"/>
          <w:lang w:val="en-US" w:eastAsia="zh-CN"/>
        </w:rPr>
        <w:t xml:space="preserve">1.定期书面汇报 </w:t>
      </w:r>
    </w:p>
    <w:p w14:paraId="62651DC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b w:val="0"/>
          <w:bCs/>
          <w:color w:val="auto"/>
          <w:kern w:val="0"/>
          <w:sz w:val="24"/>
          <w:szCs w:val="24"/>
          <w:highlight w:val="none"/>
          <w:lang w:val="en-US" w:eastAsia="zh-CN"/>
        </w:rPr>
      </w:pPr>
      <w:r>
        <w:rPr>
          <w:rFonts w:hint="eastAsia" w:ascii="宋体" w:hAnsi="宋体" w:eastAsia="宋体" w:cs="宋体"/>
          <w:b w:val="0"/>
          <w:bCs/>
          <w:color w:val="auto"/>
          <w:kern w:val="0"/>
          <w:sz w:val="24"/>
          <w:szCs w:val="24"/>
          <w:highlight w:val="none"/>
          <w:lang w:val="en-US" w:eastAsia="zh-CN"/>
        </w:rPr>
        <w:t>1.1每月5日前提交上月巡查小结、隐患整改清单，完整月度维保报告，含设施完好率统计、故障分析、设备更换明细、现场影像；</w:t>
      </w:r>
    </w:p>
    <w:p w14:paraId="6C278C0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b w:val="0"/>
          <w:bCs/>
          <w:color w:val="auto"/>
          <w:kern w:val="0"/>
          <w:sz w:val="24"/>
          <w:szCs w:val="24"/>
          <w:highlight w:val="none"/>
          <w:lang w:val="en-US" w:eastAsia="zh-CN"/>
        </w:rPr>
      </w:pPr>
      <w:r>
        <w:rPr>
          <w:rFonts w:hint="eastAsia" w:ascii="宋体" w:hAnsi="宋体" w:eastAsia="宋体" w:cs="宋体"/>
          <w:b w:val="0"/>
          <w:bCs/>
          <w:color w:val="auto"/>
          <w:kern w:val="0"/>
          <w:sz w:val="24"/>
          <w:szCs w:val="24"/>
          <w:highlight w:val="none"/>
          <w:lang w:val="en-US" w:eastAsia="zh-CN"/>
        </w:rPr>
        <w:t xml:space="preserve">1.2每季度提交季度检测总报告、系统运行评估； </w:t>
      </w:r>
    </w:p>
    <w:p w14:paraId="459DDE1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b w:val="0"/>
          <w:bCs/>
          <w:color w:val="auto"/>
          <w:kern w:val="0"/>
          <w:sz w:val="24"/>
          <w:szCs w:val="24"/>
          <w:highlight w:val="none"/>
          <w:lang w:val="en-US" w:eastAsia="zh-CN"/>
        </w:rPr>
      </w:pPr>
      <w:r>
        <w:rPr>
          <w:rFonts w:hint="eastAsia" w:ascii="宋体" w:hAnsi="宋体" w:eastAsia="宋体" w:cs="宋体"/>
          <w:b w:val="0"/>
          <w:bCs/>
          <w:color w:val="auto"/>
          <w:kern w:val="0"/>
          <w:sz w:val="24"/>
          <w:szCs w:val="24"/>
          <w:highlight w:val="none"/>
          <w:lang w:val="en-US" w:eastAsia="zh-CN"/>
        </w:rPr>
        <w:t>1.3重大节假日提前提交节前专项排查保障方案，节后提交排查总结。</w:t>
      </w:r>
    </w:p>
    <w:p w14:paraId="0F7A43E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b w:val="0"/>
          <w:bCs/>
          <w:color w:val="auto"/>
          <w:kern w:val="0"/>
          <w:sz w:val="24"/>
          <w:szCs w:val="24"/>
          <w:highlight w:val="none"/>
          <w:lang w:val="en-US" w:eastAsia="zh-CN"/>
        </w:rPr>
      </w:pPr>
      <w:r>
        <w:rPr>
          <w:rFonts w:hint="eastAsia" w:ascii="宋体" w:hAnsi="宋体" w:eastAsia="宋体" w:cs="宋体"/>
          <w:b w:val="0"/>
          <w:bCs/>
          <w:color w:val="auto"/>
          <w:kern w:val="0"/>
          <w:sz w:val="24"/>
          <w:szCs w:val="24"/>
          <w:highlight w:val="none"/>
          <w:lang w:val="en-US" w:eastAsia="zh-CN"/>
        </w:rPr>
        <w:t>1.4档案归档标准：执行“一隧道一档”，纸质、电子双份存档，包含人员资质、设备台账、巡查保养记录、维修单、检测报告、演练资料、整改销号资料；服务期满完整移交全部档案给招标人，档案保存期限不少于3年。</w:t>
      </w:r>
    </w:p>
    <w:p w14:paraId="0F3B536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b w:val="0"/>
          <w:bCs/>
          <w:color w:val="auto"/>
          <w:kern w:val="0"/>
          <w:sz w:val="24"/>
          <w:szCs w:val="24"/>
          <w:highlight w:val="none"/>
          <w:lang w:val="en-US" w:eastAsia="zh-CN"/>
        </w:rPr>
      </w:pPr>
      <w:r>
        <w:rPr>
          <w:rFonts w:hint="eastAsia" w:ascii="宋体" w:hAnsi="宋体" w:eastAsia="宋体" w:cs="宋体"/>
          <w:b w:val="0"/>
          <w:bCs/>
          <w:color w:val="auto"/>
          <w:kern w:val="0"/>
          <w:sz w:val="24"/>
          <w:szCs w:val="24"/>
          <w:highlight w:val="none"/>
          <w:lang w:val="en-US" w:eastAsia="zh-CN"/>
        </w:rPr>
        <w:t>1.5数字化留存：每次维修、检测、巡查留存维修前、维修中、维修后对比照片，同步上传智慧维保平台，招标人可随时线上调取核验。</w:t>
      </w:r>
    </w:p>
    <w:p w14:paraId="23EE0D9A">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十</w:t>
      </w:r>
      <w:r>
        <w:rPr>
          <w:rFonts w:hint="eastAsia" w:ascii="宋体" w:hAnsi="宋体" w:eastAsia="宋体" w:cs="宋体"/>
          <w:b/>
          <w:color w:val="auto"/>
          <w:kern w:val="0"/>
          <w:sz w:val="24"/>
          <w:szCs w:val="24"/>
          <w:highlight w:val="none"/>
        </w:rPr>
        <w:t>、关于工期的约定</w:t>
      </w:r>
    </w:p>
    <w:p w14:paraId="6D8E3DC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1.甲方要求比合同约定的工期提前竣工时，应征得乙方同意，并支付乙方因赶工采取的措施费用。</w:t>
      </w:r>
    </w:p>
    <w:p w14:paraId="66AAFFE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2.因甲方未按约定完成工作且影响工期的，工期相应顺延。</w:t>
      </w:r>
    </w:p>
    <w:p w14:paraId="21EE019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3.因乙方责任，不能按期开工或中途无故停工，影响工期，工期不顺延，由乙方承担逾期完工的违约责任。</w:t>
      </w:r>
    </w:p>
    <w:p w14:paraId="710695C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4.因非乙方原因造成的停电、停水、停气及不可抗力因素影响，导致停工8小时以上（一周内累计计算），工期相应顺延。</w:t>
      </w:r>
    </w:p>
    <w:p w14:paraId="46A22133">
      <w:pPr>
        <w:keepNext w:val="0"/>
        <w:keepLines w:val="0"/>
        <w:pageBreakBefore w:val="0"/>
        <w:widowControl w:val="0"/>
        <w:kinsoku/>
        <w:wordWrap/>
        <w:overflowPunct/>
        <w:topLinePunct w:val="0"/>
        <w:autoSpaceDE w:val="0"/>
        <w:autoSpaceDN w:val="0"/>
        <w:bidi w:val="0"/>
        <w:adjustRightInd w:val="0"/>
        <w:spacing w:line="360" w:lineRule="auto"/>
        <w:jc w:val="both"/>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十一</w:t>
      </w:r>
      <w:r>
        <w:rPr>
          <w:rFonts w:hint="eastAsia" w:ascii="宋体" w:hAnsi="宋体" w:eastAsia="宋体" w:cs="宋体"/>
          <w:b/>
          <w:bCs/>
          <w:color w:val="auto"/>
          <w:kern w:val="0"/>
          <w:sz w:val="24"/>
          <w:szCs w:val="24"/>
          <w:highlight w:val="none"/>
        </w:rPr>
        <w:t>、关于工程质量及验收的约定</w:t>
      </w:r>
    </w:p>
    <w:p w14:paraId="49515A0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分项单次验收：单次巡查、维修、检测完成后，中标人自检提交记录及影像，招标人抽查验收，不合格无偿限期整改；</w:t>
      </w:r>
    </w:p>
    <w:p w14:paraId="3F5DADD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季度全面检测验收：每季度开展全隧道消防系统功能性核验，所有检测数据达标方可通过季度验收；</w:t>
      </w:r>
    </w:p>
    <w:p w14:paraId="47C3F09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年度整体竣工验收：服务期满，核对全年运维台账、故障闭环记录、检测报告、演练资料、设备更新台账，设施完好率达标、无遗留隐患、档案齐全视为验收合格；</w:t>
      </w:r>
    </w:p>
    <w:p w14:paraId="48D5346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规范依据</w:t>
      </w:r>
    </w:p>
    <w:p w14:paraId="79BA83E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4.1</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en-US" w:eastAsia="zh-CN"/>
        </w:rPr>
        <w:t>《火灾报警产品的维修保养与报废（GB29837-2013）</w:t>
      </w:r>
    </w:p>
    <w:p w14:paraId="218F9AB6">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4.2《建筑消防设施的维护管理》（GB25201-2010）</w:t>
      </w:r>
    </w:p>
    <w:p w14:paraId="6D5B403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4.3《现代消防工程施工维护手册》</w:t>
      </w:r>
    </w:p>
    <w:p w14:paraId="3BD31347">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4.4《火灾自动报警系统施工及验收规范》（GB50166-2019）</w:t>
      </w:r>
    </w:p>
    <w:p w14:paraId="5FBD6C0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4.5《消防给水及消火栓系统技术规范》（GB 50974-2014）</w:t>
      </w:r>
    </w:p>
    <w:p w14:paraId="5CABB867">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4.6《建筑设计防火规范》（GB50016-2014）2018版</w:t>
      </w:r>
    </w:p>
    <w:p w14:paraId="35978E1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4.8</w:t>
      </w:r>
      <w:r>
        <w:rPr>
          <w:rFonts w:hint="eastAsia" w:ascii="宋体" w:hAnsi="宋体" w:eastAsia="宋体" w:cs="宋体"/>
          <w:color w:val="auto"/>
          <w:kern w:val="0"/>
          <w:sz w:val="24"/>
          <w:szCs w:val="24"/>
          <w:highlight w:val="none"/>
        </w:rPr>
        <w:t xml:space="preserve">《消防应急照明和疏散指示系统技术标准》GB 51309 </w:t>
      </w:r>
    </w:p>
    <w:p w14:paraId="75481AD7">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4.9</w:t>
      </w:r>
      <w:r>
        <w:rPr>
          <w:rFonts w:hint="eastAsia" w:ascii="宋体" w:hAnsi="宋体" w:eastAsia="宋体" w:cs="宋体"/>
          <w:color w:val="auto"/>
          <w:kern w:val="0"/>
          <w:sz w:val="24"/>
          <w:szCs w:val="24"/>
          <w:highlight w:val="none"/>
        </w:rPr>
        <w:t xml:space="preserve">《建筑灭火器配置验收及检查规范》GB 50444 </w:t>
      </w:r>
    </w:p>
    <w:p w14:paraId="6AF47C5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4.10</w:t>
      </w:r>
      <w:r>
        <w:rPr>
          <w:rFonts w:hint="eastAsia" w:ascii="宋体" w:hAnsi="宋体" w:eastAsia="宋体" w:cs="宋体"/>
          <w:color w:val="auto"/>
          <w:kern w:val="0"/>
          <w:sz w:val="24"/>
          <w:szCs w:val="24"/>
          <w:highlight w:val="none"/>
        </w:rPr>
        <w:t xml:space="preserve">《城市道路交通设施设计规范》GB 50688 </w:t>
      </w:r>
    </w:p>
    <w:p w14:paraId="4E577A25">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val="en-US" w:eastAsia="zh-CN"/>
        </w:rPr>
        <w:t>4.11</w:t>
      </w:r>
      <w:r>
        <w:rPr>
          <w:rFonts w:hint="eastAsia" w:ascii="宋体" w:hAnsi="宋体" w:eastAsia="宋体" w:cs="宋体"/>
          <w:color w:val="auto"/>
          <w:kern w:val="0"/>
          <w:sz w:val="24"/>
          <w:szCs w:val="24"/>
          <w:highlight w:val="none"/>
        </w:rPr>
        <w:t>《公路隧道消防技术规范》及省市地方隧道运维管理规定</w:t>
      </w:r>
      <w:r>
        <w:rPr>
          <w:rFonts w:hint="eastAsia" w:ascii="宋体" w:hAnsi="宋体" w:eastAsia="宋体" w:cs="宋体"/>
          <w:color w:val="auto"/>
          <w:kern w:val="0"/>
          <w:sz w:val="24"/>
          <w:szCs w:val="24"/>
          <w:highlight w:val="none"/>
          <w:lang w:eastAsia="zh-CN"/>
        </w:rPr>
        <w:t>。</w:t>
      </w:r>
    </w:p>
    <w:p w14:paraId="3016D33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、验收依据：</w:t>
      </w:r>
    </w:p>
    <w:p w14:paraId="2C9C8FCC">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-1、合同文本、合同附件、竞争性磋商文件、成交供应商的响应文件。</w:t>
      </w:r>
    </w:p>
    <w:p w14:paraId="2662F9C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-2、国内相应的标准、规范。</w:t>
      </w:r>
    </w:p>
    <w:p w14:paraId="11468A18">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val="en-US" w:eastAsia="zh-CN"/>
        </w:rPr>
        <w:t>十二</w:t>
      </w:r>
      <w:r>
        <w:rPr>
          <w:rFonts w:hint="eastAsia" w:ascii="宋体" w:hAnsi="宋体" w:eastAsia="宋体" w:cs="宋体"/>
          <w:b/>
          <w:color w:val="auto"/>
          <w:kern w:val="0"/>
          <w:sz w:val="24"/>
          <w:szCs w:val="24"/>
          <w:highlight w:val="none"/>
        </w:rPr>
        <w:t>、违约责任</w:t>
      </w:r>
    </w:p>
    <w:p w14:paraId="2782C73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1、按《中华人民共和国民法典》中的相关条款执行。</w:t>
      </w:r>
    </w:p>
    <w:p w14:paraId="151BE5B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2、乙方履约延误</w:t>
      </w:r>
    </w:p>
    <w:p w14:paraId="211EA61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2-1、如乙方事先未征得甲方同意并得到甲方的谅解而单方面延迟执行合同，将按违约终止合同。</w:t>
      </w:r>
    </w:p>
    <w:p w14:paraId="6EDDEC4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6736736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rPr>
        <w:t>3、违约终止合同：未按合同要求提供服务或不能满足技术要求，甲方会同监督机构有权终止合同，对乙方违约行为进行追究，同时按政府采购法的有关规定进行相应的处罚。</w:t>
      </w:r>
    </w:p>
    <w:p w14:paraId="20763CA9">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十</w:t>
      </w:r>
      <w:r>
        <w:rPr>
          <w:rFonts w:hint="eastAsia" w:ascii="宋体" w:hAnsi="宋体" w:eastAsia="宋体" w:cs="宋体"/>
          <w:b/>
          <w:color w:val="auto"/>
          <w:kern w:val="0"/>
          <w:sz w:val="24"/>
          <w:szCs w:val="24"/>
          <w:highlight w:val="none"/>
          <w:lang w:val="en-US" w:eastAsia="zh-CN"/>
        </w:rPr>
        <w:t>三</w:t>
      </w:r>
      <w:r>
        <w:rPr>
          <w:rFonts w:hint="eastAsia" w:ascii="宋体" w:hAnsi="宋体" w:eastAsia="宋体" w:cs="宋体"/>
          <w:b/>
          <w:color w:val="auto"/>
          <w:kern w:val="0"/>
          <w:sz w:val="24"/>
          <w:szCs w:val="24"/>
          <w:highlight w:val="none"/>
        </w:rPr>
        <w:t>、合同组成</w:t>
      </w:r>
    </w:p>
    <w:p w14:paraId="590C21AD">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1、成交通知书</w:t>
      </w:r>
    </w:p>
    <w:p w14:paraId="4D7F975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2、合同文件</w:t>
      </w:r>
    </w:p>
    <w:p w14:paraId="728DD33D">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3、国家相关规范及标准</w:t>
      </w:r>
    </w:p>
    <w:p w14:paraId="727D0B4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4、竞争性磋商文件</w:t>
      </w:r>
    </w:p>
    <w:p w14:paraId="3C9FC84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5、成交供应商的响应文件</w:t>
      </w:r>
    </w:p>
    <w:p w14:paraId="1DE7D5D0">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十一、解决争议的方法</w:t>
      </w:r>
    </w:p>
    <w:p w14:paraId="7140474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凡因本合同引起的或与本合同有关的争议，双方应友好协商解决。协商不成时，双方均同意采用以下第（     ）种争议解决方式：</w:t>
      </w:r>
    </w:p>
    <w:p w14:paraId="410D4651">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1、甲、乙双方均同意向（甲方所在地人民法院）提起诉讼。</w:t>
      </w:r>
    </w:p>
    <w:p w14:paraId="703156AD">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2、甲、乙双方均同意向（仲裁委员会）提起仲裁。</w:t>
      </w:r>
    </w:p>
    <w:p w14:paraId="3CFBDA32">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十二、合同生效及其它</w:t>
      </w:r>
    </w:p>
    <w:p w14:paraId="4BDC239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1、合同未尽事宜、由甲、乙双方协商，作为合同补充，与原合同具有同等法律效力。</w:t>
      </w:r>
    </w:p>
    <w:p w14:paraId="37566275">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2、本合同正本一式份，甲方、乙方双方分别执</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份，备案</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份。</w:t>
      </w:r>
    </w:p>
    <w:p w14:paraId="164F817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3、合同经甲乙双方盖章、签字后生效，合同签订地点为。</w:t>
      </w:r>
    </w:p>
    <w:p w14:paraId="30A4926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4、生效时间：</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日</w:t>
      </w:r>
    </w:p>
    <w:p w14:paraId="40F90553">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auto"/>
          <w:kern w:val="0"/>
          <w:sz w:val="24"/>
          <w:szCs w:val="24"/>
          <w:highlight w:val="none"/>
        </w:rPr>
      </w:pPr>
    </w:p>
    <w:p w14:paraId="0516C6A0">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甲方名称（盖章）：                            乙方名称（盖章）：</w:t>
      </w:r>
    </w:p>
    <w:p w14:paraId="2AD5A14E">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地址：                                        地址：</w:t>
      </w:r>
    </w:p>
    <w:p w14:paraId="3697C264">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代表人（签字）：                              代表人（签字）：</w:t>
      </w:r>
    </w:p>
    <w:p w14:paraId="2BECDC98">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                                        电话：</w:t>
      </w:r>
    </w:p>
    <w:p w14:paraId="2C047BD5">
      <w:pPr>
        <w:keepNext w:val="0"/>
        <w:keepLines w:val="0"/>
        <w:pageBreakBefore w:val="0"/>
        <w:widowControl w:val="0"/>
        <w:kinsoku/>
        <w:wordWrap/>
        <w:overflowPunct/>
        <w:topLinePunct w:val="0"/>
        <w:autoSpaceDE w:val="0"/>
        <w:autoSpaceDN w:val="0"/>
        <w:bidi w:val="0"/>
        <w:adjustRightInd w:val="0"/>
        <w:spacing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开户银行：                                    开户银行：</w:t>
      </w:r>
    </w:p>
    <w:p w14:paraId="4BC0EF8C">
      <w:pPr>
        <w:pStyle w:val="9"/>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Hans"/>
        </w:rPr>
      </w:pPr>
      <w:r>
        <w:rPr>
          <w:rFonts w:hint="eastAsia" w:ascii="宋体" w:hAnsi="宋体" w:eastAsia="宋体" w:cs="宋体"/>
          <w:color w:val="auto"/>
          <w:kern w:val="0"/>
          <w:sz w:val="24"/>
          <w:szCs w:val="24"/>
          <w:highlight w:val="none"/>
        </w:rPr>
        <w:t>账号：                                        账号：</w:t>
      </w:r>
    </w:p>
    <w:p w14:paraId="22080FCF">
      <w:pPr>
        <w:rPr>
          <w:rFonts w:hint="eastAsia" w:ascii="宋体" w:hAnsi="宋体" w:eastAsia="宋体" w:cs="宋体"/>
          <w:color w:val="auto"/>
          <w:highlight w:val="none"/>
        </w:rPr>
      </w:pPr>
    </w:p>
    <w:p w14:paraId="56099E25"/>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F5AFA">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7042243">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07042243">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CC7EA">
    <w:pPr>
      <w:spacing w:before="16" w:line="219" w:lineRule="auto"/>
      <w:ind w:left="7055"/>
      <w:rPr>
        <w:rFonts w:ascii="宋体" w:hAnsi="宋体" w:cs="宋体"/>
        <w:sz w:val="18"/>
        <w:szCs w:val="18"/>
      </w:rPr>
    </w:pPr>
    <w:r>
      <mc:AlternateContent>
        <mc:Choice Requires="wps">
          <w:drawing>
            <wp:anchor distT="0" distB="0" distL="114300" distR="114300" simplePos="0" relativeHeight="251659264" behindDoc="0" locked="0" layoutInCell="0" allowOverlap="1">
              <wp:simplePos x="0" y="0"/>
              <wp:positionH relativeFrom="page">
                <wp:posOffset>1153795</wp:posOffset>
              </wp:positionH>
              <wp:positionV relativeFrom="page">
                <wp:posOffset>713105</wp:posOffset>
              </wp:positionV>
              <wp:extent cx="5274945" cy="9525"/>
              <wp:effectExtent l="0" t="0" r="0" b="0"/>
              <wp:wrapNone/>
              <wp:docPr id="2" name="任意多边形 2"/>
              <wp:cNvGraphicFramePr/>
              <a:graphic xmlns:a="http://schemas.openxmlformats.org/drawingml/2006/main">
                <a:graphicData uri="http://schemas.microsoft.com/office/word/2010/wordprocessingShape">
                  <wps:wsp>
                    <wps:cNvSpPr/>
                    <wps:spPr>
                      <a:xfrm>
                        <a:off x="0" y="0"/>
                        <a:ext cx="5274945" cy="9525"/>
                      </a:xfrm>
                      <a:custGeom>
                        <a:avLst/>
                        <a:gdLst/>
                        <a:ahLst/>
                        <a:cxnLst/>
                        <a:pathLst>
                          <a:path w="8307" h="15">
                            <a:moveTo>
                              <a:pt x="0" y="0"/>
                            </a:moveTo>
                            <a:lnTo>
                              <a:pt x="8306" y="0"/>
                            </a:lnTo>
                            <a:lnTo>
                              <a:pt x="8306" y="14"/>
                            </a:lnTo>
                            <a:lnTo>
                              <a:pt x="0" y="14"/>
                            </a:lnTo>
                            <a:lnTo>
                              <a:pt x="0" y="0"/>
                            </a:lnTo>
                            <a:close/>
                          </a:path>
                        </a:pathLst>
                      </a:custGeom>
                      <a:solidFill>
                        <a:srgbClr val="000000"/>
                      </a:solidFill>
                      <a:ln>
                        <a:noFill/>
                      </a:ln>
                    </wps:spPr>
                    <wps:bodyPr upright="1"/>
                  </wps:wsp>
                </a:graphicData>
              </a:graphic>
            </wp:anchor>
          </w:drawing>
        </mc:Choice>
        <mc:Fallback>
          <w:pict>
            <v:shape id="_x0000_s1026" o:spid="_x0000_s1026" o:spt="100" style="position:absolute;left:0pt;margin-left:90.85pt;margin-top:56.15pt;height:0.75pt;width:415.35pt;mso-position-horizontal-relative:page;mso-position-vertical-relative:page;z-index:251659264;mso-width-relative:page;mso-height-relative:page;" fillcolor="#000000" filled="t" stroked="f" coordsize="8307,15" o:allowincell="f" o:gfxdata="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HGPpC2AAAAAwBAAAPAAAA&#10;AAAAAAEAIAAAACIAAABkcnMvZG93bnJldi54bWxQSwECFAAUAAAACACHTuJAzmCrGhUCAAB7BAAA&#10;DgAAAAAAAAABACAAAAAnAQAAZHJzL2Uyb0RvYy54bWxQSwUGAAAAAAYABgBZAQAArgUAAAAA&#10;" path="m0,0l8306,0,8306,14,0,14,0,0xe">
              <v:fill on="t" focussize="0,0"/>
              <v:stroke on="f"/>
              <v:imagedata o:title=""/>
              <o:lock v:ext="edit" aspectratio="f"/>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770E66"/>
    <w:rsid w:val="26770E66"/>
    <w:rsid w:val="34D97CCD"/>
    <w:rsid w:val="78213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topLinePunct/>
      <w:spacing w:line="360" w:lineRule="auto"/>
      <w:jc w:val="both"/>
    </w:pPr>
    <w:rPr>
      <w:rFonts w:eastAsia="宋体" w:asciiTheme="minorHAnsi" w:hAnsiTheme="minorHAnsi" w:cstheme="minorBidi"/>
      <w:kern w:val="2"/>
      <w:sz w:val="24"/>
      <w:szCs w:val="24"/>
      <w:lang w:val="en-US" w:eastAsia="zh-CN" w:bidi="ar-SA"/>
    </w:rPr>
  </w:style>
  <w:style w:type="paragraph" w:styleId="2">
    <w:name w:val="heading 1"/>
    <w:basedOn w:val="1"/>
    <w:next w:val="1"/>
    <w:qFormat/>
    <w:uiPriority w:val="0"/>
    <w:pPr>
      <w:keepNext/>
      <w:keepLines/>
      <w:jc w:val="center"/>
      <w:outlineLvl w:val="0"/>
    </w:pPr>
    <w:rPr>
      <w:b/>
      <w:kern w:val="44"/>
      <w:sz w:val="44"/>
    </w:rPr>
  </w:style>
  <w:style w:type="paragraph" w:styleId="3">
    <w:name w:val="heading 2"/>
    <w:basedOn w:val="1"/>
    <w:next w:val="1"/>
    <w:unhideWhenUsed/>
    <w:qFormat/>
    <w:uiPriority w:val="0"/>
    <w:pPr>
      <w:keepNext/>
      <w:keepLines/>
      <w:outlineLvl w:val="1"/>
    </w:pPr>
    <w:rPr>
      <w:rFonts w:ascii="Arial" w:hAnsi="Arial" w:eastAsia="黑体"/>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rFonts w:eastAsiaTheme="minorEastAsia"/>
      <w:sz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2"/>
    <w:basedOn w:val="1"/>
    <w:qFormat/>
    <w:uiPriority w:val="99"/>
    <w:pPr>
      <w:ind w:right="26"/>
    </w:pPr>
    <w:rPr>
      <w:rFonts w:ascii="宋体"/>
      <w:szCs w:val="20"/>
    </w:rPr>
  </w:style>
  <w:style w:type="paragraph" w:customStyle="1" w:styleId="9">
    <w:name w:val="null3"/>
    <w:hidden/>
    <w:qFormat/>
    <w:uiPriority w:val="0"/>
    <w:rPr>
      <w:rFonts w:hint="eastAsia" w:asciiTheme="minorHAnsi" w:hAnsiTheme="minorHAnsi" w:eastAsiaTheme="minorEastAsia" w:cstheme="minorBidi"/>
      <w:lang w:val="en-US" w:eastAsia="zh-CN" w:bidi="mn-Mong-CN"/>
    </w:rPr>
  </w:style>
  <w:style w:type="paragraph" w:customStyle="1" w:styleId="10">
    <w:name w:val="Table Text"/>
    <w:basedOn w:val="1"/>
    <w:semiHidden/>
    <w:qFormat/>
    <w:uiPriority w:val="0"/>
    <w:rPr>
      <w:rFonts w:ascii="宋体" w:hAnsi="宋体" w:cs="宋体"/>
      <w:sz w:val="19"/>
      <w:szCs w:val="19"/>
      <w:lang w:eastAsia="en-US"/>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2731</Words>
  <Characters>2774</Characters>
  <Lines>0</Lines>
  <Paragraphs>0</Paragraphs>
  <TotalTime>0</TotalTime>
  <ScaleCrop>false</ScaleCrop>
  <LinksUpToDate>false</LinksUpToDate>
  <CharactersWithSpaces>3173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2025-06-05T01:05:00Z</dcterms:created>
  <dc:creator>ZB</dc:creator>
  <cp:lastModifiedBy>中技-陕分</cp:lastModifiedBy>
  <dcterms:modified xsi:type="dcterms:W3CDTF">2026-07-15T05:40:51Z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CECEE9D380884BC499405C80083CD6F2_11</vt:lpwstr>
  </property>
  <property fmtid="{D5CDD505-2E9C-101B-9397-08002B2CF9AE}" pid="4" name="KSOTemplateDocerSaveRecord">
    <vt:lpwstr>eyJoZGlkIjoiOWUxNDk4ZDFmYjNmMjUyZDdmZTRjODI3MzUyZjg1MDgiLCJ1c2VySWQiOiI0MTk0MTM2MzYifQ==</vt:lpwstr>
  </property>
</Properties>
</file>