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版本号：YDCZB-2601120260615001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专利预审分类支撑服务项目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YDCZB-26011</w:t>
      </w:r>
      <w:r>
        <w:br/>
      </w:r>
      <w:r>
        <w:br/>
      </w:r>
      <w:r>
        <w:br/>
      </w:r>
    </w:p>
    <w:p>
      <w:pPr>
        <w:pStyle w:val="null3"/>
        <w:jc w:val="center"/>
        <w:outlineLvl w:val="5"/>
      </w:pPr>
      <w:r>
        <w:rPr>
          <w:rFonts w:ascii="仿宋_GB2312" w:hAnsi="仿宋_GB2312" w:cs="仿宋_GB2312" w:eastAsia="仿宋_GB2312"/>
          <w:sz w:val="15"/>
          <w:b/>
        </w:rPr>
        <w:t>陕西省知识产权保护中心</w:t>
      </w:r>
    </w:p>
    <w:p>
      <w:pPr>
        <w:pStyle w:val="null3"/>
        <w:jc w:val="center"/>
        <w:outlineLvl w:val="5"/>
      </w:pPr>
      <w:r>
        <w:rPr>
          <w:rFonts w:ascii="仿宋_GB2312" w:hAnsi="仿宋_GB2312" w:cs="仿宋_GB2312" w:eastAsia="仿宋_GB2312"/>
          <w:sz w:val="15"/>
          <w:b/>
        </w:rPr>
        <w:t>西安壹鼎城招标有限公司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西安壹鼎城招标有限公司</w:t>
      </w:r>
      <w:r>
        <w:rPr>
          <w:rFonts w:ascii="仿宋_GB2312" w:hAnsi="仿宋_GB2312" w:cs="仿宋_GB2312" w:eastAsia="仿宋_GB2312"/>
        </w:rPr>
        <w:t>（以下简称“代理机构”）受</w:t>
      </w:r>
      <w:r>
        <w:rPr>
          <w:rFonts w:ascii="仿宋_GB2312" w:hAnsi="仿宋_GB2312" w:cs="仿宋_GB2312" w:eastAsia="仿宋_GB2312"/>
        </w:rPr>
        <w:t>陕西省知识产权保护中心</w:t>
      </w:r>
      <w:r>
        <w:rPr>
          <w:rFonts w:ascii="仿宋_GB2312" w:hAnsi="仿宋_GB2312" w:cs="仿宋_GB2312" w:eastAsia="仿宋_GB2312"/>
        </w:rPr>
        <w:t>委托，拟对</w:t>
      </w:r>
      <w:r>
        <w:rPr>
          <w:rFonts w:ascii="仿宋_GB2312" w:hAnsi="仿宋_GB2312" w:cs="仿宋_GB2312" w:eastAsia="仿宋_GB2312"/>
        </w:rPr>
        <w:t>专利预审分类支撑服务项目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YDCZB-26011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专利预审分类支撑服务项目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专利预审分类支撑服务项目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2、财务状况报告：提供2024年度或者2025年度经审计的完整财务报告或协商日期前三个月内其基本存款账户开户银行出具的资信证明。（如提供资信证明，须同时提供基本存款账户开户许可证或基本账户信息表）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3、税收缴纳证明：提供2025年9月至今已缴纳的至少一个月的纳税证明，依法免税的单位应提供相关证明材料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4、社会保障资金缴纳证明：提供2025年9月至今已缴存的至少一个月的社会保障资金缴存单据或社保机构开具的社会保险参保缴费情况证明，依法不需要缴纳社会保 障资金的单位应提供相关证明材料</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6、没有重大违法记录：参加政府采购活动前三年内，在经营活动中没有重大违法记录的书面声明</w:t>
      </w:r>
    </w:p>
    <w:p>
      <w:pPr>
        <w:pStyle w:val="null3"/>
      </w:pPr>
      <w:r>
        <w:rPr>
          <w:rFonts w:ascii="仿宋_GB2312" w:hAnsi="仿宋_GB2312" w:cs="仿宋_GB2312" w:eastAsia="仿宋_GB2312"/>
        </w:rPr>
        <w:t>7、信用查询：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直接参加协商的，须提供法定代表人身份证明；法定代表人授权代表参加协商的，须提供法定代表人授权委托书（需同时提供投标截止时间前三个月内任意一个月供应商为其缴纳的社保证明材料）</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陕西省知识产权保护中心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西安市未央区沣东自贸新天地2A座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029-81028191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西安壹鼎城招标有限公司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陕西省西安市高新区沣惠南路18号西格玛大厦 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17629270201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代理服务费收费标准：定额收取人民币玖仟伍佰元整（¥9500.00）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陕西省知识产权保护中心</w:t>
      </w:r>
      <w:r>
        <w:rPr>
          <w:rFonts w:ascii="仿宋_GB2312" w:hAnsi="仿宋_GB2312" w:cs="仿宋_GB2312" w:eastAsia="仿宋_GB2312"/>
        </w:rPr>
        <w:t>和</w:t>
      </w:r>
      <w:r>
        <w:rPr>
          <w:rFonts w:ascii="仿宋_GB2312" w:hAnsi="仿宋_GB2312" w:cs="仿宋_GB2312" w:eastAsia="仿宋_GB2312"/>
        </w:rPr>
        <w:t>西安壹鼎城招标有限公司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西安壹鼎城招标有限公司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陕西省知识产权保护中心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西安壹鼎城招标有限公司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专利预审分类支撑服务项目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专利预审分类支撑服务项目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标的名称：专利预审分类支撑服务项目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、技术要求</w:t>
            </w:r>
          </w:p>
          <w:p>
            <w:pPr>
              <w:pStyle w:val="null3"/>
              <w:ind w:firstLine="360"/>
              <w:jc w:val="left"/>
            </w:pPr>
            <w:r>
              <w:rPr>
                <w:rFonts w:ascii="仿宋_GB2312" w:hAnsi="仿宋_GB2312" w:cs="仿宋_GB2312" w:eastAsia="仿宋_GB2312"/>
                <w:sz w:val="24"/>
              </w:rPr>
              <w:t>（一）项目内容</w:t>
            </w:r>
          </w:p>
          <w:p>
            <w:pPr>
              <w:pStyle w:val="null3"/>
              <w:ind w:firstLine="480"/>
              <w:jc w:val="both"/>
            </w:pPr>
            <w:r>
              <w:rPr>
                <w:rFonts w:ascii="仿宋_GB2312" w:hAnsi="仿宋_GB2312" w:cs="仿宋_GB2312" w:eastAsia="仿宋_GB2312"/>
                <w:sz w:val="24"/>
              </w:rPr>
              <w:t>专利预审案件的</w:t>
            </w:r>
            <w:r>
              <w:rPr>
                <w:rFonts w:ascii="仿宋_GB2312" w:hAnsi="仿宋_GB2312" w:cs="仿宋_GB2312" w:eastAsia="仿宋_GB2312"/>
                <w:sz w:val="24"/>
              </w:rPr>
              <w:t>IPC分类(或洛迦诺分类)技术服务。针对发明、实用新型和外观设计预审案件及时提供明确、精准的IPC和洛迦诺分类号，并保障相同案件分类的一致性，同时负有保密责任。</w:t>
            </w:r>
          </w:p>
          <w:p>
            <w:pPr>
              <w:pStyle w:val="null3"/>
              <w:ind w:firstLine="480"/>
              <w:jc w:val="both"/>
            </w:pPr>
            <w:r>
              <w:rPr>
                <w:rFonts w:ascii="仿宋_GB2312" w:hAnsi="仿宋_GB2312" w:cs="仿宋_GB2312" w:eastAsia="仿宋_GB2312"/>
                <w:sz w:val="24"/>
              </w:rPr>
              <w:t>专利预审案件的</w:t>
            </w:r>
            <w:r>
              <w:rPr>
                <w:rFonts w:ascii="仿宋_GB2312" w:hAnsi="仿宋_GB2312" w:cs="仿宋_GB2312" w:eastAsia="仿宋_GB2312"/>
                <w:sz w:val="24"/>
              </w:rPr>
              <w:t>IPC分类其中包含发明专利</w:t>
            </w:r>
            <w:r>
              <w:rPr>
                <w:rFonts w:ascii="仿宋_GB2312" w:hAnsi="仿宋_GB2312" w:cs="仿宋_GB2312" w:eastAsia="仿宋_GB2312"/>
                <w:sz w:val="24"/>
              </w:rPr>
              <w:t>66</w:t>
            </w:r>
            <w:r>
              <w:rPr>
                <w:rFonts w:ascii="仿宋_GB2312" w:hAnsi="仿宋_GB2312" w:cs="仿宋_GB2312" w:eastAsia="仿宋_GB2312"/>
                <w:sz w:val="24"/>
              </w:rPr>
              <w:t>00件、实用新型专利4</w:t>
            </w:r>
            <w:r>
              <w:rPr>
                <w:rFonts w:ascii="仿宋_GB2312" w:hAnsi="仿宋_GB2312" w:cs="仿宋_GB2312" w:eastAsia="仿宋_GB2312"/>
                <w:sz w:val="24"/>
              </w:rPr>
              <w:t>75</w:t>
            </w:r>
            <w:r>
              <w:rPr>
                <w:rFonts w:ascii="仿宋_GB2312" w:hAnsi="仿宋_GB2312" w:cs="仿宋_GB2312" w:eastAsia="仿宋_GB2312"/>
                <w:sz w:val="24"/>
              </w:rPr>
              <w:t>件、外观设计专利</w:t>
            </w:r>
            <w:r>
              <w:rPr>
                <w:rFonts w:ascii="仿宋_GB2312" w:hAnsi="仿宋_GB2312" w:cs="仿宋_GB2312" w:eastAsia="仿宋_GB2312"/>
                <w:sz w:val="24"/>
              </w:rPr>
              <w:t>475</w:t>
            </w:r>
            <w:r>
              <w:rPr>
                <w:rFonts w:ascii="仿宋_GB2312" w:hAnsi="仿宋_GB2312" w:cs="仿宋_GB2312" w:eastAsia="仿宋_GB2312"/>
                <w:sz w:val="24"/>
              </w:rPr>
              <w:t>件。</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预期目标（成果）</w:t>
            </w:r>
          </w:p>
          <w:p>
            <w:pPr>
              <w:pStyle w:val="null3"/>
              <w:ind w:firstLine="480"/>
              <w:jc w:val="both"/>
            </w:pPr>
            <w:r>
              <w:rPr>
                <w:rFonts w:ascii="仿宋_GB2312" w:hAnsi="仿宋_GB2312" w:cs="仿宋_GB2312" w:eastAsia="仿宋_GB2312"/>
                <w:sz w:val="24"/>
              </w:rPr>
              <w:t>形成每件专利预审案件的</w:t>
            </w:r>
            <w:r>
              <w:rPr>
                <w:rFonts w:ascii="仿宋_GB2312" w:hAnsi="仿宋_GB2312" w:cs="仿宋_GB2312" w:eastAsia="仿宋_GB2312"/>
                <w:sz w:val="24"/>
              </w:rPr>
              <w:t>IPC分类号(或洛迦诺分类号)。</w:t>
            </w:r>
          </w:p>
          <w:p>
            <w:pPr>
              <w:pStyle w:val="null3"/>
              <w:ind w:firstLine="360"/>
              <w:jc w:val="left"/>
            </w:pPr>
            <w:r>
              <w:rPr>
                <w:rFonts w:ascii="仿宋_GB2312" w:hAnsi="仿宋_GB2312" w:cs="仿宋_GB2312" w:eastAsia="仿宋_GB2312"/>
                <w:sz w:val="24"/>
              </w:rPr>
              <w:t>（三）项目要求</w:t>
            </w:r>
          </w:p>
          <w:p>
            <w:pPr>
              <w:pStyle w:val="null3"/>
              <w:ind w:firstLine="360"/>
              <w:jc w:val="left"/>
            </w:pPr>
            <w:r>
              <w:rPr>
                <w:rFonts w:ascii="仿宋_GB2312" w:hAnsi="仿宋_GB2312" w:cs="仿宋_GB2312" w:eastAsia="仿宋_GB2312"/>
                <w:sz w:val="24"/>
              </w:rPr>
              <w:t>1.质量要求</w:t>
            </w:r>
          </w:p>
          <w:p>
            <w:pPr>
              <w:pStyle w:val="null3"/>
              <w:ind w:firstLine="480"/>
              <w:jc w:val="both"/>
            </w:pPr>
            <w:r>
              <w:rPr>
                <w:rFonts w:ascii="仿宋_GB2312" w:hAnsi="仿宋_GB2312" w:cs="仿宋_GB2312" w:eastAsia="仿宋_GB2312"/>
                <w:sz w:val="24"/>
              </w:rPr>
              <w:t>各分类项目的分类数据符合</w:t>
            </w:r>
            <w:r>
              <w:rPr>
                <w:rFonts w:ascii="仿宋_GB2312" w:hAnsi="仿宋_GB2312" w:cs="仿宋_GB2312" w:eastAsia="仿宋_GB2312"/>
                <w:sz w:val="24"/>
                <w:color w:val="000000"/>
              </w:rPr>
              <w:t>《国际专利分类表分类指南》</w:t>
            </w:r>
            <w:r>
              <w:rPr>
                <w:rFonts w:ascii="仿宋_GB2312" w:hAnsi="仿宋_GB2312" w:cs="仿宋_GB2312" w:eastAsia="仿宋_GB2312"/>
                <w:sz w:val="24"/>
              </w:rPr>
              <w:t>和分类定义的要求。</w:t>
            </w:r>
          </w:p>
          <w:p>
            <w:pPr>
              <w:pStyle w:val="null3"/>
              <w:ind w:firstLine="360"/>
              <w:jc w:val="left"/>
            </w:pPr>
            <w:r>
              <w:rPr>
                <w:rFonts w:ascii="仿宋_GB2312" w:hAnsi="仿宋_GB2312" w:cs="仿宋_GB2312" w:eastAsia="仿宋_GB2312"/>
                <w:sz w:val="24"/>
              </w:rPr>
              <w:t>2.安全要求</w:t>
            </w:r>
          </w:p>
          <w:p>
            <w:pPr>
              <w:pStyle w:val="null3"/>
              <w:ind w:firstLine="480"/>
              <w:jc w:val="both"/>
            </w:pPr>
            <w:r>
              <w:rPr>
                <w:rFonts w:ascii="仿宋_GB2312" w:hAnsi="仿宋_GB2312" w:cs="仿宋_GB2312" w:eastAsia="仿宋_GB2312"/>
                <w:sz w:val="24"/>
              </w:rPr>
              <w:t>保障专利预审分类的场地、人员、设备安全。</w:t>
            </w:r>
          </w:p>
          <w:p>
            <w:pPr>
              <w:pStyle w:val="null3"/>
              <w:ind w:firstLine="360"/>
              <w:jc w:val="left"/>
            </w:pPr>
            <w:r>
              <w:rPr>
                <w:rFonts w:ascii="仿宋_GB2312" w:hAnsi="仿宋_GB2312" w:cs="仿宋_GB2312" w:eastAsia="仿宋_GB2312"/>
                <w:sz w:val="24"/>
              </w:rPr>
              <w:t>3.时限要求</w:t>
            </w:r>
          </w:p>
          <w:p>
            <w:pPr>
              <w:pStyle w:val="null3"/>
            </w:pPr>
            <w:r>
              <w:rPr>
                <w:rFonts w:ascii="仿宋_GB2312" w:hAnsi="仿宋_GB2312" w:cs="仿宋_GB2312" w:eastAsia="仿宋_GB2312"/>
                <w:sz w:val="24"/>
              </w:rPr>
              <w:t>自合同签订之日起至</w:t>
            </w:r>
            <w:r>
              <w:rPr>
                <w:rFonts w:ascii="仿宋_GB2312" w:hAnsi="仿宋_GB2312" w:cs="仿宋_GB2312" w:eastAsia="仿宋_GB2312"/>
                <w:sz w:val="24"/>
              </w:rPr>
              <w:t>202</w:t>
            </w:r>
            <w:r>
              <w:rPr>
                <w:rFonts w:ascii="仿宋_GB2312" w:hAnsi="仿宋_GB2312" w:cs="仿宋_GB2312" w:eastAsia="仿宋_GB2312"/>
                <w:sz w:val="24"/>
              </w:rPr>
              <w:t>7</w:t>
            </w:r>
            <w:r>
              <w:rPr>
                <w:rFonts w:ascii="仿宋_GB2312" w:hAnsi="仿宋_GB2312" w:cs="仿宋_GB2312" w:eastAsia="仿宋_GB2312"/>
                <w:sz w:val="24"/>
              </w:rPr>
              <w:t>年底</w:t>
            </w:r>
            <w:r>
              <w:rPr>
                <w:rFonts w:ascii="仿宋_GB2312" w:hAnsi="仿宋_GB2312" w:cs="仿宋_GB2312" w:eastAsia="仿宋_GB2312"/>
                <w:sz w:val="24"/>
              </w:rPr>
              <w:t>前</w:t>
            </w:r>
            <w:r>
              <w:rPr>
                <w:rFonts w:ascii="仿宋_GB2312" w:hAnsi="仿宋_GB2312" w:cs="仿宋_GB2312" w:eastAsia="仿宋_GB2312"/>
                <w:sz w:val="24"/>
              </w:rPr>
              <w:t>完成。</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满足项目实施及采购人要求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自合同签订之日起至2027年底前完成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供应商在项目完成后提交验收申请，并提供全套验收资料，采购人在收到验收申请后组织验收。 验收内容： 采购文件要求和响应文件承诺。 验收依据：合同、采购文件、响应文件、国家（行业）有关标准规范。</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（1）按《中华人民共和国民法典》及有关法律 法规中的相关条款对违约情况进行处理；（2）未按合同要求提供服务或服务质量不能满足要求，采购人会同相关单位有权终止合同，并对违约方的违约行为进行追究， 同时按有关法规进行相应的处罚。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3.4.1（响应文件格式-标的清单）本项目服务范围：专利预审分类支撑服务项目；服务要求：符合采购文件有关技术、商务要求；服务标准：符合国家和省、市有关行业标准及采购人的有关规定。 3.4.2本项目发明专利最高单价限价为70元/件，实用新型专利最高单价限价为40元/件，外观设计专利最高单价限价为40元/件；报价超过最高单价限价的按无效投标处理。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提供2024年度或者2025年度经审计的完整财务报告或协商日期前三个月内其基本存款账户开户银行出具的资信证明。（如提供资信证明，须同时提供基本存款账户开户许可证或基本账户信息表）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提供2024年度或者2025年度经审计的完整财务报告或协商日期前三个月内其基本存款账户开户银行出具的资信证明。（如提供资信证明，须同时提供基本存款账户开户许可证或基本账户信息表）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提供2025年9月至今已缴存的至少一个月的社会保障资金缴存单据或社保机构开具的社会保险参保缴费情况证明，依法不需要缴纳社会保 障资金的单位应提供相关证明材料</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法定代表人直接参加协商的，须提供法定代表人身份证明；法定代表人授权代表参加协商的，须提供法定代表人授权委托书（需同时提供投标截止时间前三个月内任意一个月供应商为其缴纳的社保证明材料）</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报价唯一，且没有高于采购预算及最高限价</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单一来源采购响应文件的签署、盖章符合单一来源采购文件要求，供应商递交的响应文件与本项目名称一致</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协商有效期、授权有效期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服务期响应单一来源采购文件要求</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