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02BC98">
      <w:pPr>
        <w:pStyle w:val="7"/>
        <w:shd w:val="clear"/>
        <w:jc w:val="center"/>
        <w:outlineLvl w:val="1"/>
        <w:rPr>
          <w:color w:val="auto"/>
          <w:highlight w:val="none"/>
        </w:rPr>
      </w:pPr>
      <w:r>
        <w:rPr>
          <w:rFonts w:ascii="仿宋_GB2312" w:hAnsi="仿宋_GB2312" w:eastAsia="仿宋_GB2312" w:cs="仿宋_GB2312"/>
          <w:b/>
          <w:color w:val="auto"/>
          <w:sz w:val="36"/>
          <w:highlight w:val="none"/>
        </w:rPr>
        <w:t>拟签订合同文本</w:t>
      </w:r>
    </w:p>
    <w:p w14:paraId="69531E63">
      <w:pPr>
        <w:shd w:val="clear"/>
        <w:ind w:firstLine="480" w:firstLineChars="200"/>
        <w:rPr>
          <w:rFonts w:hint="eastAsia" w:ascii="仿宋" w:hAnsi="仿宋" w:eastAsia="仿宋"/>
          <w:color w:val="auto"/>
          <w:sz w:val="24"/>
          <w:highlight w:val="none"/>
        </w:rPr>
      </w:pPr>
    </w:p>
    <w:p w14:paraId="7DEECF7A">
      <w:pPr>
        <w:shd w:val="clear"/>
        <w:ind w:firstLine="480" w:firstLineChars="200"/>
        <w:rPr>
          <w:rFonts w:ascii="仿宋" w:hAnsi="仿宋" w:eastAsia="仿宋"/>
          <w:color w:val="auto"/>
          <w:sz w:val="24"/>
          <w:highlight w:val="none"/>
        </w:rPr>
      </w:pPr>
      <w:r>
        <w:rPr>
          <w:rFonts w:hint="eastAsia" w:ascii="仿宋" w:hAnsi="仿宋" w:eastAsia="仿宋"/>
          <w:color w:val="auto"/>
          <w:sz w:val="24"/>
          <w:highlight w:val="none"/>
        </w:rPr>
        <w:t xml:space="preserve">甲方（采购人）： </w:t>
      </w:r>
    </w:p>
    <w:p w14:paraId="2908DA64">
      <w:pPr>
        <w:shd w:val="clear"/>
        <w:spacing w:line="460" w:lineRule="exact"/>
        <w:rPr>
          <w:rFonts w:ascii="仿宋" w:hAnsi="仿宋" w:eastAsia="仿宋"/>
          <w:color w:val="auto"/>
          <w:sz w:val="24"/>
          <w:highlight w:val="none"/>
        </w:rPr>
      </w:pPr>
    </w:p>
    <w:p w14:paraId="71A3DBD0">
      <w:pPr>
        <w:shd w:val="clear"/>
        <w:spacing w:line="46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乙方（中标供应商）：</w:t>
      </w:r>
      <w:r>
        <w:rPr>
          <w:rFonts w:ascii="仿宋" w:hAnsi="仿宋" w:eastAsia="仿宋"/>
          <w:color w:val="auto"/>
          <w:sz w:val="24"/>
          <w:highlight w:val="none"/>
        </w:rPr>
        <w:t xml:space="preserve"> </w:t>
      </w:r>
    </w:p>
    <w:p w14:paraId="795013BC">
      <w:pPr>
        <w:shd w:val="clear"/>
        <w:spacing w:line="460" w:lineRule="exact"/>
        <w:rPr>
          <w:rFonts w:ascii="仿宋" w:hAnsi="仿宋" w:eastAsia="仿宋"/>
          <w:color w:val="auto"/>
          <w:sz w:val="24"/>
          <w:highlight w:val="none"/>
        </w:rPr>
      </w:pPr>
    </w:p>
    <w:p w14:paraId="799378C8">
      <w:pPr>
        <w:pageBreakBefore w:val="0"/>
        <w:shd w:val="clear"/>
        <w:tabs>
          <w:tab w:val="left" w:pos="480"/>
        </w:tabs>
        <w:kinsoku/>
        <w:overflowPunct/>
        <w:topLinePunct w:val="0"/>
        <w:bidi w:val="0"/>
        <w:spacing w:line="400" w:lineRule="exac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一、合同标的物内容及数量</w:t>
      </w:r>
      <w:r>
        <w:rPr>
          <w:rFonts w:hint="eastAsia" w:ascii="仿宋" w:hAnsi="仿宋" w:eastAsia="仿宋" w:cs="仿宋"/>
          <w:color w:val="auto"/>
          <w:sz w:val="24"/>
          <w:highlight w:val="none"/>
        </w:rPr>
        <w:t>（以投标文件正本和澄清表〈函〉为准）</w:t>
      </w:r>
    </w:p>
    <w:tbl>
      <w:tblPr>
        <w:tblStyle w:val="5"/>
        <w:tblW w:w="9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135"/>
        <w:gridCol w:w="1342"/>
        <w:gridCol w:w="1986"/>
        <w:gridCol w:w="1986"/>
        <w:gridCol w:w="1489"/>
      </w:tblGrid>
      <w:tr w14:paraId="32E3C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711D7548">
            <w:pPr>
              <w:pageBreakBefore w:val="0"/>
              <w:shd w:val="clear"/>
              <w:tabs>
                <w:tab w:val="left" w:pos="480"/>
              </w:tabs>
              <w:kinsoku/>
              <w:overflowPunct/>
              <w:topLinePunct w:val="0"/>
              <w:bidi w:val="0"/>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135" w:type="dxa"/>
            <w:tcBorders>
              <w:top w:val="single" w:color="auto" w:sz="4" w:space="0"/>
              <w:left w:val="single" w:color="auto" w:sz="4" w:space="0"/>
              <w:bottom w:val="single" w:color="auto" w:sz="4" w:space="0"/>
              <w:right w:val="single" w:color="auto" w:sz="4" w:space="0"/>
            </w:tcBorders>
            <w:noWrap w:val="0"/>
            <w:vAlign w:val="center"/>
          </w:tcPr>
          <w:p w14:paraId="0A93AD2F">
            <w:pPr>
              <w:pageBreakBefore w:val="0"/>
              <w:shd w:val="clear"/>
              <w:tabs>
                <w:tab w:val="left" w:pos="480"/>
              </w:tabs>
              <w:kinsoku/>
              <w:overflowPunct/>
              <w:topLinePunct w:val="0"/>
              <w:bidi w:val="0"/>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产品名称</w:t>
            </w:r>
          </w:p>
        </w:tc>
        <w:tc>
          <w:tcPr>
            <w:tcW w:w="1342" w:type="dxa"/>
            <w:tcBorders>
              <w:top w:val="single" w:color="auto" w:sz="4" w:space="0"/>
              <w:left w:val="single" w:color="auto" w:sz="4" w:space="0"/>
              <w:bottom w:val="single" w:color="auto" w:sz="4" w:space="0"/>
              <w:right w:val="single" w:color="auto" w:sz="4" w:space="0"/>
            </w:tcBorders>
            <w:noWrap w:val="0"/>
            <w:vAlign w:val="center"/>
          </w:tcPr>
          <w:p w14:paraId="79CBBAC6">
            <w:pPr>
              <w:pageBreakBefore w:val="0"/>
              <w:shd w:val="clear"/>
              <w:tabs>
                <w:tab w:val="left" w:pos="480"/>
              </w:tabs>
              <w:kinsoku/>
              <w:overflowPunct/>
              <w:topLinePunct w:val="0"/>
              <w:bidi w:val="0"/>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生产厂家</w:t>
            </w:r>
          </w:p>
        </w:tc>
        <w:tc>
          <w:tcPr>
            <w:tcW w:w="1986" w:type="dxa"/>
            <w:tcBorders>
              <w:top w:val="single" w:color="auto" w:sz="4" w:space="0"/>
              <w:left w:val="single" w:color="auto" w:sz="4" w:space="0"/>
              <w:bottom w:val="single" w:color="auto" w:sz="4" w:space="0"/>
              <w:right w:val="single" w:color="auto" w:sz="4" w:space="0"/>
            </w:tcBorders>
            <w:noWrap w:val="0"/>
            <w:vAlign w:val="center"/>
          </w:tcPr>
          <w:p w14:paraId="2C7708E0">
            <w:pPr>
              <w:pageBreakBefore w:val="0"/>
              <w:shd w:val="clear"/>
              <w:tabs>
                <w:tab w:val="left" w:pos="480"/>
              </w:tabs>
              <w:kinsoku/>
              <w:overflowPunct/>
              <w:topLinePunct w:val="0"/>
              <w:bidi w:val="0"/>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尺寸规格</w:t>
            </w:r>
          </w:p>
        </w:tc>
        <w:tc>
          <w:tcPr>
            <w:tcW w:w="1986" w:type="dxa"/>
            <w:tcBorders>
              <w:top w:val="single" w:color="auto" w:sz="4" w:space="0"/>
              <w:left w:val="single" w:color="auto" w:sz="4" w:space="0"/>
              <w:bottom w:val="single" w:color="auto" w:sz="4" w:space="0"/>
              <w:right w:val="single" w:color="auto" w:sz="4" w:space="0"/>
            </w:tcBorders>
            <w:noWrap w:val="0"/>
            <w:vAlign w:val="center"/>
          </w:tcPr>
          <w:p w14:paraId="5D2CE9EB">
            <w:pPr>
              <w:pageBreakBefore w:val="0"/>
              <w:shd w:val="clear"/>
              <w:tabs>
                <w:tab w:val="left" w:pos="480"/>
              </w:tabs>
              <w:kinsoku/>
              <w:overflowPunct/>
              <w:topLinePunct w:val="0"/>
              <w:bidi w:val="0"/>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单价</w:t>
            </w:r>
          </w:p>
          <w:p w14:paraId="6DAD7C0F">
            <w:pPr>
              <w:pageBreakBefore w:val="0"/>
              <w:shd w:val="clear"/>
              <w:tabs>
                <w:tab w:val="left" w:pos="480"/>
              </w:tabs>
              <w:kinsoku/>
              <w:overflowPunct/>
              <w:topLinePunct w:val="0"/>
              <w:bidi w:val="0"/>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（元）</w:t>
            </w:r>
          </w:p>
        </w:tc>
        <w:tc>
          <w:tcPr>
            <w:tcW w:w="1489" w:type="dxa"/>
            <w:tcBorders>
              <w:top w:val="single" w:color="auto" w:sz="4" w:space="0"/>
              <w:left w:val="single" w:color="auto" w:sz="4" w:space="0"/>
              <w:bottom w:val="single" w:color="auto" w:sz="4" w:space="0"/>
              <w:right w:val="single" w:color="auto" w:sz="4" w:space="0"/>
            </w:tcBorders>
            <w:noWrap w:val="0"/>
            <w:vAlign w:val="center"/>
          </w:tcPr>
          <w:p w14:paraId="1CD888B8">
            <w:pPr>
              <w:pageBreakBefore w:val="0"/>
              <w:shd w:val="clear"/>
              <w:tabs>
                <w:tab w:val="left" w:pos="480"/>
              </w:tabs>
              <w:kinsoku/>
              <w:overflowPunct/>
              <w:topLinePunct w:val="0"/>
              <w:bidi w:val="0"/>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1FB26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6CB2E7B9">
            <w:pPr>
              <w:pageBreakBefore w:val="0"/>
              <w:shd w:val="clear"/>
              <w:tabs>
                <w:tab w:val="left" w:pos="480"/>
              </w:tabs>
              <w:kinsoku/>
              <w:overflowPunct/>
              <w:topLinePunct w:val="0"/>
              <w:bidi w:val="0"/>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2135" w:type="dxa"/>
            <w:tcBorders>
              <w:top w:val="single" w:color="auto" w:sz="4" w:space="0"/>
              <w:left w:val="single" w:color="auto" w:sz="4" w:space="0"/>
              <w:bottom w:val="single" w:color="auto" w:sz="4" w:space="0"/>
              <w:right w:val="single" w:color="auto" w:sz="4" w:space="0"/>
            </w:tcBorders>
            <w:noWrap w:val="0"/>
            <w:vAlign w:val="center"/>
          </w:tcPr>
          <w:p w14:paraId="3E2BD303">
            <w:pPr>
              <w:pageBreakBefore w:val="0"/>
              <w:shd w:val="clear"/>
              <w:tabs>
                <w:tab w:val="left" w:pos="480"/>
              </w:tabs>
              <w:kinsoku/>
              <w:overflowPunct/>
              <w:topLinePunct w:val="0"/>
              <w:bidi w:val="0"/>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xxxx</w:t>
            </w:r>
          </w:p>
        </w:tc>
        <w:tc>
          <w:tcPr>
            <w:tcW w:w="1342" w:type="dxa"/>
            <w:tcBorders>
              <w:top w:val="single" w:color="auto" w:sz="4" w:space="0"/>
              <w:left w:val="single" w:color="auto" w:sz="4" w:space="0"/>
              <w:bottom w:val="single" w:color="auto" w:sz="4" w:space="0"/>
              <w:right w:val="single" w:color="auto" w:sz="4" w:space="0"/>
            </w:tcBorders>
            <w:noWrap w:val="0"/>
            <w:vAlign w:val="top"/>
          </w:tcPr>
          <w:p w14:paraId="07A0CDBA">
            <w:pPr>
              <w:pageBreakBefore w:val="0"/>
              <w:shd w:val="clear"/>
              <w:tabs>
                <w:tab w:val="left" w:pos="480"/>
              </w:tabs>
              <w:kinsoku/>
              <w:overflowPunct/>
              <w:topLinePunct w:val="0"/>
              <w:bidi w:val="0"/>
              <w:spacing w:line="400" w:lineRule="exact"/>
              <w:jc w:val="center"/>
              <w:rPr>
                <w:rFonts w:hint="eastAsia" w:ascii="仿宋" w:hAnsi="仿宋" w:eastAsia="仿宋" w:cs="仿宋"/>
                <w:color w:val="auto"/>
                <w:sz w:val="24"/>
                <w:highlight w:val="none"/>
              </w:rPr>
            </w:pPr>
          </w:p>
        </w:tc>
        <w:tc>
          <w:tcPr>
            <w:tcW w:w="1986" w:type="dxa"/>
            <w:tcBorders>
              <w:top w:val="single" w:color="auto" w:sz="4" w:space="0"/>
              <w:left w:val="single" w:color="auto" w:sz="4" w:space="0"/>
              <w:bottom w:val="single" w:color="auto" w:sz="4" w:space="0"/>
              <w:right w:val="single" w:color="auto" w:sz="4" w:space="0"/>
            </w:tcBorders>
            <w:noWrap w:val="0"/>
            <w:vAlign w:val="center"/>
          </w:tcPr>
          <w:p w14:paraId="6DD60693">
            <w:pPr>
              <w:pageBreakBefore w:val="0"/>
              <w:shd w:val="clear"/>
              <w:tabs>
                <w:tab w:val="left" w:pos="480"/>
              </w:tabs>
              <w:kinsoku/>
              <w:overflowPunct/>
              <w:topLinePunct w:val="0"/>
              <w:bidi w:val="0"/>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xxxx</w:t>
            </w:r>
          </w:p>
        </w:tc>
        <w:tc>
          <w:tcPr>
            <w:tcW w:w="1986" w:type="dxa"/>
            <w:tcBorders>
              <w:top w:val="single" w:color="auto" w:sz="4" w:space="0"/>
              <w:left w:val="single" w:color="auto" w:sz="4" w:space="0"/>
              <w:bottom w:val="single" w:color="auto" w:sz="4" w:space="0"/>
              <w:right w:val="single" w:color="auto" w:sz="4" w:space="0"/>
            </w:tcBorders>
            <w:noWrap w:val="0"/>
            <w:vAlign w:val="center"/>
          </w:tcPr>
          <w:p w14:paraId="2A66CB13">
            <w:pPr>
              <w:pageBreakBefore w:val="0"/>
              <w:shd w:val="clear"/>
              <w:tabs>
                <w:tab w:val="left" w:pos="480"/>
              </w:tabs>
              <w:kinsoku/>
              <w:overflowPunct/>
              <w:topLinePunct w:val="0"/>
              <w:bidi w:val="0"/>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xxxx</w:t>
            </w:r>
          </w:p>
        </w:tc>
        <w:tc>
          <w:tcPr>
            <w:tcW w:w="1489" w:type="dxa"/>
            <w:tcBorders>
              <w:top w:val="single" w:color="auto" w:sz="4" w:space="0"/>
              <w:left w:val="single" w:color="auto" w:sz="4" w:space="0"/>
              <w:right w:val="single" w:color="auto" w:sz="4" w:space="0"/>
            </w:tcBorders>
            <w:noWrap w:val="0"/>
            <w:vAlign w:val="center"/>
          </w:tcPr>
          <w:p w14:paraId="1B3A333A">
            <w:pPr>
              <w:pageBreakBefore w:val="0"/>
              <w:shd w:val="clear"/>
              <w:tabs>
                <w:tab w:val="left" w:pos="480"/>
              </w:tabs>
              <w:kinsoku/>
              <w:overflowPunct/>
              <w:topLinePunct w:val="0"/>
              <w:bidi w:val="0"/>
              <w:spacing w:line="400" w:lineRule="exact"/>
              <w:jc w:val="center"/>
              <w:rPr>
                <w:rFonts w:hint="eastAsia" w:ascii="仿宋" w:hAnsi="仿宋" w:eastAsia="仿宋" w:cs="仿宋"/>
                <w:color w:val="auto"/>
                <w:sz w:val="24"/>
                <w:highlight w:val="none"/>
              </w:rPr>
            </w:pPr>
          </w:p>
        </w:tc>
      </w:tr>
      <w:tr w14:paraId="77F9D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7552507D">
            <w:pPr>
              <w:pageBreakBefore w:val="0"/>
              <w:shd w:val="clear"/>
              <w:tabs>
                <w:tab w:val="left" w:pos="480"/>
              </w:tabs>
              <w:kinsoku/>
              <w:overflowPunct/>
              <w:topLinePunct w:val="0"/>
              <w:bidi w:val="0"/>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2135" w:type="dxa"/>
            <w:tcBorders>
              <w:top w:val="single" w:color="auto" w:sz="4" w:space="0"/>
              <w:left w:val="single" w:color="auto" w:sz="4" w:space="0"/>
              <w:bottom w:val="single" w:color="auto" w:sz="4" w:space="0"/>
              <w:right w:val="single" w:color="auto" w:sz="4" w:space="0"/>
            </w:tcBorders>
            <w:noWrap w:val="0"/>
            <w:vAlign w:val="center"/>
          </w:tcPr>
          <w:p w14:paraId="39A27345">
            <w:pPr>
              <w:pageBreakBefore w:val="0"/>
              <w:shd w:val="clear"/>
              <w:tabs>
                <w:tab w:val="left" w:pos="480"/>
              </w:tabs>
              <w:kinsoku/>
              <w:overflowPunct/>
              <w:topLinePunct w:val="0"/>
              <w:bidi w:val="0"/>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xxxx</w:t>
            </w:r>
          </w:p>
        </w:tc>
        <w:tc>
          <w:tcPr>
            <w:tcW w:w="1342" w:type="dxa"/>
            <w:tcBorders>
              <w:top w:val="single" w:color="auto" w:sz="4" w:space="0"/>
              <w:left w:val="single" w:color="auto" w:sz="4" w:space="0"/>
              <w:bottom w:val="single" w:color="auto" w:sz="4" w:space="0"/>
              <w:right w:val="single" w:color="auto" w:sz="4" w:space="0"/>
            </w:tcBorders>
            <w:noWrap w:val="0"/>
            <w:vAlign w:val="top"/>
          </w:tcPr>
          <w:p w14:paraId="01FC0FED">
            <w:pPr>
              <w:pageBreakBefore w:val="0"/>
              <w:shd w:val="clear"/>
              <w:tabs>
                <w:tab w:val="left" w:pos="480"/>
              </w:tabs>
              <w:kinsoku/>
              <w:overflowPunct/>
              <w:topLinePunct w:val="0"/>
              <w:bidi w:val="0"/>
              <w:spacing w:line="400" w:lineRule="exact"/>
              <w:jc w:val="center"/>
              <w:rPr>
                <w:rFonts w:hint="eastAsia" w:ascii="仿宋" w:hAnsi="仿宋" w:eastAsia="仿宋" w:cs="仿宋"/>
                <w:color w:val="auto"/>
                <w:sz w:val="24"/>
                <w:highlight w:val="none"/>
              </w:rPr>
            </w:pPr>
          </w:p>
        </w:tc>
        <w:tc>
          <w:tcPr>
            <w:tcW w:w="1986" w:type="dxa"/>
            <w:tcBorders>
              <w:top w:val="single" w:color="auto" w:sz="4" w:space="0"/>
              <w:left w:val="single" w:color="auto" w:sz="4" w:space="0"/>
              <w:bottom w:val="single" w:color="auto" w:sz="4" w:space="0"/>
              <w:right w:val="single" w:color="auto" w:sz="4" w:space="0"/>
            </w:tcBorders>
            <w:noWrap w:val="0"/>
            <w:vAlign w:val="center"/>
          </w:tcPr>
          <w:p w14:paraId="31BF654A">
            <w:pPr>
              <w:pageBreakBefore w:val="0"/>
              <w:shd w:val="clear"/>
              <w:tabs>
                <w:tab w:val="left" w:pos="480"/>
              </w:tabs>
              <w:kinsoku/>
              <w:overflowPunct/>
              <w:topLinePunct w:val="0"/>
              <w:bidi w:val="0"/>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xxxx</w:t>
            </w:r>
          </w:p>
        </w:tc>
        <w:tc>
          <w:tcPr>
            <w:tcW w:w="1986" w:type="dxa"/>
            <w:tcBorders>
              <w:top w:val="single" w:color="auto" w:sz="4" w:space="0"/>
              <w:left w:val="single" w:color="auto" w:sz="4" w:space="0"/>
              <w:bottom w:val="single" w:color="auto" w:sz="4" w:space="0"/>
              <w:right w:val="single" w:color="auto" w:sz="4" w:space="0"/>
            </w:tcBorders>
            <w:noWrap w:val="0"/>
            <w:vAlign w:val="center"/>
          </w:tcPr>
          <w:p w14:paraId="1CC15E3A">
            <w:pPr>
              <w:pageBreakBefore w:val="0"/>
              <w:shd w:val="clear"/>
              <w:tabs>
                <w:tab w:val="left" w:pos="480"/>
              </w:tabs>
              <w:kinsoku/>
              <w:overflowPunct/>
              <w:topLinePunct w:val="0"/>
              <w:bidi w:val="0"/>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xxxx</w:t>
            </w:r>
          </w:p>
        </w:tc>
        <w:tc>
          <w:tcPr>
            <w:tcW w:w="1489" w:type="dxa"/>
            <w:tcBorders>
              <w:top w:val="single" w:color="auto" w:sz="4" w:space="0"/>
              <w:left w:val="single" w:color="auto" w:sz="4" w:space="0"/>
              <w:right w:val="single" w:color="auto" w:sz="4" w:space="0"/>
            </w:tcBorders>
            <w:noWrap w:val="0"/>
            <w:vAlign w:val="center"/>
          </w:tcPr>
          <w:p w14:paraId="35BC3B1C">
            <w:pPr>
              <w:pageBreakBefore w:val="0"/>
              <w:shd w:val="clear"/>
              <w:tabs>
                <w:tab w:val="left" w:pos="480"/>
              </w:tabs>
              <w:kinsoku/>
              <w:overflowPunct/>
              <w:topLinePunct w:val="0"/>
              <w:bidi w:val="0"/>
              <w:spacing w:line="400" w:lineRule="exact"/>
              <w:jc w:val="center"/>
              <w:rPr>
                <w:rFonts w:hint="eastAsia" w:ascii="仿宋" w:hAnsi="仿宋" w:eastAsia="仿宋" w:cs="仿宋"/>
                <w:color w:val="auto"/>
                <w:sz w:val="24"/>
                <w:highlight w:val="none"/>
              </w:rPr>
            </w:pPr>
          </w:p>
        </w:tc>
      </w:tr>
      <w:tr w14:paraId="4AD8E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20E981AD">
            <w:pPr>
              <w:pageBreakBefore w:val="0"/>
              <w:shd w:val="clear"/>
              <w:tabs>
                <w:tab w:val="left" w:pos="480"/>
              </w:tabs>
              <w:kinsoku/>
              <w:overflowPunct/>
              <w:topLinePunct w:val="0"/>
              <w:bidi w:val="0"/>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2135" w:type="dxa"/>
            <w:tcBorders>
              <w:top w:val="single" w:color="auto" w:sz="4" w:space="0"/>
              <w:left w:val="single" w:color="auto" w:sz="4" w:space="0"/>
              <w:bottom w:val="single" w:color="auto" w:sz="4" w:space="0"/>
              <w:right w:val="single" w:color="auto" w:sz="4" w:space="0"/>
            </w:tcBorders>
            <w:noWrap w:val="0"/>
            <w:vAlign w:val="center"/>
          </w:tcPr>
          <w:p w14:paraId="5B37ACE4">
            <w:pPr>
              <w:pageBreakBefore w:val="0"/>
              <w:shd w:val="clear"/>
              <w:tabs>
                <w:tab w:val="left" w:pos="480"/>
              </w:tabs>
              <w:kinsoku/>
              <w:overflowPunct/>
              <w:topLinePunct w:val="0"/>
              <w:bidi w:val="0"/>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1342" w:type="dxa"/>
            <w:tcBorders>
              <w:top w:val="single" w:color="auto" w:sz="4" w:space="0"/>
              <w:left w:val="single" w:color="auto" w:sz="4" w:space="0"/>
              <w:bottom w:val="single" w:color="auto" w:sz="4" w:space="0"/>
              <w:right w:val="single" w:color="auto" w:sz="4" w:space="0"/>
            </w:tcBorders>
            <w:noWrap w:val="0"/>
            <w:vAlign w:val="top"/>
          </w:tcPr>
          <w:p w14:paraId="4F38C4E3">
            <w:pPr>
              <w:pageBreakBefore w:val="0"/>
              <w:shd w:val="clear"/>
              <w:tabs>
                <w:tab w:val="left" w:pos="480"/>
              </w:tabs>
              <w:kinsoku/>
              <w:overflowPunct/>
              <w:topLinePunct w:val="0"/>
              <w:bidi w:val="0"/>
              <w:spacing w:line="400" w:lineRule="exact"/>
              <w:jc w:val="center"/>
              <w:rPr>
                <w:rFonts w:hint="eastAsia" w:ascii="仿宋" w:hAnsi="仿宋" w:eastAsia="仿宋" w:cs="仿宋"/>
                <w:color w:val="auto"/>
                <w:sz w:val="24"/>
                <w:highlight w:val="none"/>
              </w:rPr>
            </w:pPr>
          </w:p>
        </w:tc>
        <w:tc>
          <w:tcPr>
            <w:tcW w:w="1986" w:type="dxa"/>
            <w:tcBorders>
              <w:top w:val="single" w:color="auto" w:sz="4" w:space="0"/>
              <w:left w:val="single" w:color="auto" w:sz="4" w:space="0"/>
              <w:bottom w:val="single" w:color="auto" w:sz="4" w:space="0"/>
              <w:right w:val="single" w:color="auto" w:sz="4" w:space="0"/>
            </w:tcBorders>
            <w:noWrap w:val="0"/>
            <w:vAlign w:val="center"/>
          </w:tcPr>
          <w:p w14:paraId="7257F7BF">
            <w:pPr>
              <w:pageBreakBefore w:val="0"/>
              <w:shd w:val="clear"/>
              <w:tabs>
                <w:tab w:val="left" w:pos="480"/>
              </w:tabs>
              <w:kinsoku/>
              <w:overflowPunct/>
              <w:topLinePunct w:val="0"/>
              <w:bidi w:val="0"/>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1986" w:type="dxa"/>
            <w:tcBorders>
              <w:top w:val="single" w:color="auto" w:sz="4" w:space="0"/>
              <w:left w:val="single" w:color="auto" w:sz="4" w:space="0"/>
              <w:bottom w:val="single" w:color="auto" w:sz="4" w:space="0"/>
              <w:right w:val="single" w:color="auto" w:sz="4" w:space="0"/>
            </w:tcBorders>
            <w:noWrap w:val="0"/>
            <w:vAlign w:val="center"/>
          </w:tcPr>
          <w:p w14:paraId="236E6D05">
            <w:pPr>
              <w:pageBreakBefore w:val="0"/>
              <w:shd w:val="clear"/>
              <w:tabs>
                <w:tab w:val="left" w:pos="480"/>
              </w:tabs>
              <w:kinsoku/>
              <w:overflowPunct/>
              <w:topLinePunct w:val="0"/>
              <w:bidi w:val="0"/>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1489" w:type="dxa"/>
            <w:tcBorders>
              <w:top w:val="single" w:color="auto" w:sz="4" w:space="0"/>
              <w:left w:val="single" w:color="auto" w:sz="4" w:space="0"/>
              <w:right w:val="single" w:color="auto" w:sz="4" w:space="0"/>
            </w:tcBorders>
            <w:noWrap w:val="0"/>
            <w:vAlign w:val="center"/>
          </w:tcPr>
          <w:p w14:paraId="521B20F9">
            <w:pPr>
              <w:pageBreakBefore w:val="0"/>
              <w:shd w:val="clear"/>
              <w:tabs>
                <w:tab w:val="left" w:pos="480"/>
              </w:tabs>
              <w:kinsoku/>
              <w:overflowPunct/>
              <w:topLinePunct w:val="0"/>
              <w:bidi w:val="0"/>
              <w:spacing w:line="400" w:lineRule="exact"/>
              <w:jc w:val="center"/>
              <w:rPr>
                <w:rFonts w:hint="eastAsia" w:ascii="仿宋" w:hAnsi="仿宋" w:eastAsia="仿宋" w:cs="仿宋"/>
                <w:color w:val="auto"/>
                <w:sz w:val="24"/>
                <w:highlight w:val="none"/>
              </w:rPr>
            </w:pPr>
          </w:p>
        </w:tc>
      </w:tr>
    </w:tbl>
    <w:p w14:paraId="24F5BB52">
      <w:pPr>
        <w:pageBreakBefore w:val="0"/>
        <w:shd w:val="clear"/>
        <w:tabs>
          <w:tab w:val="left" w:pos="480"/>
        </w:tabs>
        <w:kinsoku/>
        <w:overflowPunct/>
        <w:topLinePunct w:val="0"/>
        <w:bidi w:val="0"/>
        <w:spacing w:line="400" w:lineRule="exac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二、合同价款</w:t>
      </w:r>
    </w:p>
    <w:p w14:paraId="01CAEB45">
      <w:pPr>
        <w:pageBreakBefore w:val="0"/>
        <w:shd w:val="clear"/>
        <w:tabs>
          <w:tab w:val="left" w:pos="480"/>
        </w:tabs>
        <w:kinsoku/>
        <w:overflowPunct/>
        <w:topLinePunct w:val="0"/>
        <w:bidi w:val="0"/>
        <w:spacing w:line="40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（一）合同服务期内总价款不能超过人民币</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万元（￥</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元）。</w:t>
      </w:r>
    </w:p>
    <w:p w14:paraId="15577BE0">
      <w:pPr>
        <w:pageBreakBefore w:val="0"/>
        <w:shd w:val="clear"/>
        <w:tabs>
          <w:tab w:val="left" w:pos="480"/>
        </w:tabs>
        <w:kinsoku/>
        <w:overflowPunct/>
        <w:topLinePunct w:val="0"/>
        <w:bidi w:val="0"/>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（二）投标报价包括：货物费、运输费（含保险费）、装卸、验收、税及其它全部费用。</w:t>
      </w:r>
    </w:p>
    <w:p w14:paraId="663E6C72">
      <w:pPr>
        <w:pageBreakBefore w:val="0"/>
        <w:shd w:val="clear"/>
        <w:tabs>
          <w:tab w:val="left" w:pos="480"/>
        </w:tabs>
        <w:kinsoku/>
        <w:overflowPunct/>
        <w:topLinePunct w:val="0"/>
        <w:bidi w:val="0"/>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（三）单价一次性包死，乙方不得再增加，不受市场价格变化因素的影响。</w:t>
      </w:r>
    </w:p>
    <w:p w14:paraId="06A1CC6E">
      <w:pPr>
        <w:pageBreakBefore w:val="0"/>
        <w:shd w:val="clear"/>
        <w:tabs>
          <w:tab w:val="left" w:pos="480"/>
        </w:tabs>
        <w:kinsoku/>
        <w:overflowPunct/>
        <w:topLinePunct w:val="0"/>
        <w:bidi w:val="0"/>
        <w:spacing w:line="400" w:lineRule="exac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三、款项结算</w:t>
      </w:r>
    </w:p>
    <w:p w14:paraId="0C3914F6">
      <w:pPr>
        <w:pageBreakBefore w:val="0"/>
        <w:shd w:val="clear"/>
        <w:kinsoku/>
        <w:overflowPunct/>
        <w:topLinePunct w:val="0"/>
        <w:bidi w:val="0"/>
        <w:spacing w:line="4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1.发票需随货物一同送达甲方指定地点，按照招标参数进行验收清点并办理入库手续，无发票、或发票有误或与货物不符或实际送达数量不符合申请量而造成的延误由中标单位承担一切责任。</w:t>
      </w:r>
    </w:p>
    <w:p w14:paraId="31FC194E">
      <w:pPr>
        <w:pageBreakBefore w:val="0"/>
        <w:numPr>
          <w:ilvl w:val="0"/>
          <w:numId w:val="0"/>
        </w:numPr>
        <w:shd w:val="clear"/>
        <w:kinsoku/>
        <w:overflowPunct/>
        <w:topLinePunct w:val="0"/>
        <w:bidi w:val="0"/>
        <w:spacing w:line="40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kern w:val="2"/>
          <w:sz w:val="24"/>
          <w:szCs w:val="24"/>
          <w:highlight w:val="none"/>
          <w:lang w:val="en-US" w:eastAsia="zh-CN" w:bidi="ar-SA"/>
        </w:rPr>
        <w:t>2.</w:t>
      </w:r>
      <w:r>
        <w:rPr>
          <w:rFonts w:hint="eastAsia" w:ascii="仿宋" w:hAnsi="仿宋" w:eastAsia="仿宋" w:cs="仿宋"/>
          <w:color w:val="auto"/>
          <w:sz w:val="24"/>
          <w:highlight w:val="none"/>
          <w:lang w:val="en-US" w:eastAsia="zh-CN"/>
        </w:rPr>
        <w:t>预付款与预付款保函</w:t>
      </w:r>
    </w:p>
    <w:p w14:paraId="2208C393">
      <w:pPr>
        <w:pageBreakBefore w:val="0"/>
        <w:shd w:val="clear"/>
        <w:kinsoku/>
        <w:overflowPunct/>
        <w:topLinePunct w:val="0"/>
        <w:bidi w:val="0"/>
        <w:spacing w:line="40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合同签订后5个工作日内向甲方提交预付款保函，甲方接到预付款保函后，达到付款条件起 15个工作日内，支付合同总价的50% ；采购物资全部到货验收合格后 ，达到付款条件起 15个工作日内，支付合同总金额的 50.00%。</w:t>
      </w:r>
    </w:p>
    <w:p w14:paraId="67BE1A29">
      <w:pPr>
        <w:pageBreakBefore w:val="0"/>
        <w:shd w:val="clear"/>
        <w:kinsoku/>
        <w:overflowPunct/>
        <w:topLinePunct w:val="0"/>
        <w:bidi w:val="0"/>
        <w:spacing w:line="4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.支付方式：银行转账</w:t>
      </w:r>
    </w:p>
    <w:p w14:paraId="3C07E907">
      <w:pPr>
        <w:pageBreakBefore w:val="0"/>
        <w:shd w:val="clear"/>
        <w:kinsoku/>
        <w:overflowPunct/>
        <w:topLinePunct w:val="0"/>
        <w:bidi w:val="0"/>
        <w:spacing w:line="4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.结算方式：据实结算，乙方开具等额合规发票。</w:t>
      </w:r>
    </w:p>
    <w:p w14:paraId="25E8FB70">
      <w:pPr>
        <w:pageBreakBefore w:val="0"/>
        <w:shd w:val="clear"/>
        <w:kinsoku/>
        <w:overflowPunct/>
        <w:topLinePunct w:val="0"/>
        <w:bidi w:val="0"/>
        <w:spacing w:line="400" w:lineRule="exac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四、交货条件：</w:t>
      </w:r>
    </w:p>
    <w:p w14:paraId="1883FA85">
      <w:pPr>
        <w:pageBreakBefore w:val="0"/>
        <w:shd w:val="clear"/>
        <w:tabs>
          <w:tab w:val="left" w:pos="480"/>
        </w:tabs>
        <w:kinsoku/>
        <w:overflowPunct/>
        <w:topLinePunct w:val="0"/>
        <w:bidi w:val="0"/>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（一）交货地点：</w:t>
      </w:r>
      <w:r>
        <w:rPr>
          <w:rFonts w:hint="eastAsia" w:ascii="仿宋" w:hAnsi="仿宋" w:eastAsia="仿宋" w:cs="仿宋"/>
          <w:color w:val="auto"/>
          <w:sz w:val="24"/>
          <w:highlight w:val="none"/>
          <w:lang w:val="en-US" w:eastAsia="zh-CN"/>
        </w:rPr>
        <w:t>甲方</w:t>
      </w:r>
      <w:r>
        <w:rPr>
          <w:rFonts w:hint="eastAsia" w:ascii="仿宋" w:hAnsi="仿宋" w:eastAsia="仿宋" w:cs="仿宋"/>
          <w:color w:val="auto"/>
          <w:sz w:val="24"/>
          <w:highlight w:val="none"/>
        </w:rPr>
        <w:t>指定地点。</w:t>
      </w:r>
    </w:p>
    <w:p w14:paraId="392B4138">
      <w:pPr>
        <w:pageBreakBefore w:val="0"/>
        <w:shd w:val="clear"/>
        <w:tabs>
          <w:tab w:val="left" w:pos="480"/>
        </w:tabs>
        <w:kinsoku/>
        <w:overflowPunct/>
        <w:topLinePunct w:val="0"/>
        <w:bidi w:val="0"/>
        <w:spacing w:line="400" w:lineRule="exac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（二）供货期：自合同签订之日起一年。</w:t>
      </w:r>
    </w:p>
    <w:p w14:paraId="2A60CC87">
      <w:pPr>
        <w:pStyle w:val="2"/>
        <w:pageBreakBefore w:val="0"/>
        <w:shd w:val="clear"/>
        <w:kinsoku/>
        <w:overflowPunct/>
        <w:topLinePunct w:val="0"/>
        <w:bidi w:val="0"/>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（三）交货时间：合同签订之日起，接甲方通知后30日内完成交付、安装及调试。</w:t>
      </w:r>
      <w:bookmarkStart w:id="0" w:name="_GoBack"/>
      <w:bookmarkEnd w:id="0"/>
    </w:p>
    <w:p w14:paraId="46C52B61">
      <w:pPr>
        <w:pageBreakBefore w:val="0"/>
        <w:shd w:val="clear"/>
        <w:tabs>
          <w:tab w:val="left" w:pos="480"/>
        </w:tabs>
        <w:kinsoku/>
        <w:overflowPunct/>
        <w:topLinePunct w:val="0"/>
        <w:bidi w:val="0"/>
        <w:spacing w:line="400" w:lineRule="exac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五、运输</w:t>
      </w:r>
    </w:p>
    <w:p w14:paraId="33D8D2FA">
      <w:pPr>
        <w:pageBreakBefore w:val="0"/>
        <w:shd w:val="clear"/>
        <w:tabs>
          <w:tab w:val="left" w:pos="480"/>
        </w:tabs>
        <w:kinsoku/>
        <w:overflowPunct/>
        <w:topLinePunct w:val="0"/>
        <w:bidi w:val="0"/>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（一）运输由乙方负责，运杂费已包含在合同总价内，包括从货物供应地点至交货地点所含的运输费、装卸费、仓储费、保险费等全部费用。</w:t>
      </w:r>
    </w:p>
    <w:p w14:paraId="74314D62">
      <w:pPr>
        <w:pageBreakBefore w:val="0"/>
        <w:shd w:val="clear"/>
        <w:tabs>
          <w:tab w:val="left" w:pos="480"/>
        </w:tabs>
        <w:kinsoku/>
        <w:overflowPunct/>
        <w:topLinePunct w:val="0"/>
        <w:bidi w:val="0"/>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（二）运输方式由乙方自行选择，但必须保证按期交货。</w:t>
      </w:r>
    </w:p>
    <w:p w14:paraId="0B4C121A">
      <w:pPr>
        <w:pageBreakBefore w:val="0"/>
        <w:shd w:val="clear"/>
        <w:tabs>
          <w:tab w:val="left" w:pos="480"/>
        </w:tabs>
        <w:kinsoku/>
        <w:overflowPunct/>
        <w:topLinePunct w:val="0"/>
        <w:bidi w:val="0"/>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（三）因运输产生的一切风险及质量问题均由乙方承担。</w:t>
      </w:r>
    </w:p>
    <w:p w14:paraId="6E71CC33">
      <w:pPr>
        <w:pageBreakBefore w:val="0"/>
        <w:shd w:val="clear"/>
        <w:tabs>
          <w:tab w:val="left" w:pos="480"/>
        </w:tabs>
        <w:kinsoku/>
        <w:overflowPunct/>
        <w:topLinePunct w:val="0"/>
        <w:bidi w:val="0"/>
        <w:spacing w:line="400" w:lineRule="exac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六、质量保证</w:t>
      </w:r>
    </w:p>
    <w:p w14:paraId="51E79F79">
      <w:pPr>
        <w:pageBreakBefore w:val="0"/>
        <w:shd w:val="clear"/>
        <w:tabs>
          <w:tab w:val="left" w:pos="480"/>
        </w:tabs>
        <w:kinsoku/>
        <w:overflowPunct/>
        <w:topLinePunct w:val="0"/>
        <w:bidi w:val="0"/>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（一）质量验收标准或规范</w:t>
      </w:r>
    </w:p>
    <w:p w14:paraId="591C175D">
      <w:pPr>
        <w:pageBreakBefore w:val="0"/>
        <w:shd w:val="clear"/>
        <w:tabs>
          <w:tab w:val="left" w:pos="480"/>
        </w:tabs>
        <w:kinsoku/>
        <w:overflowPunct/>
        <w:topLinePunct w:val="0"/>
        <w:bidi w:val="0"/>
        <w:spacing w:line="40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rPr>
        <w:t>需</w:t>
      </w:r>
      <w:r>
        <w:rPr>
          <w:rFonts w:hint="eastAsia" w:ascii="仿宋" w:hAnsi="仿宋" w:eastAsia="仿宋" w:cs="仿宋"/>
          <w:color w:val="auto"/>
          <w:sz w:val="24"/>
          <w:szCs w:val="24"/>
          <w:highlight w:val="none"/>
          <w:lang w:val="en-US" w:eastAsia="zh-CN"/>
        </w:rPr>
        <w:t>配合完成三次质量抽检</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第一次为首检，在工厂生产出第一件完整产品后，将产品寄送至检测机构进行质检；第二次为过程检，在生产过程中，甲方组织人员到生产现场随机抽取封存一件（套）产品，寄送至检测机构进行质检；第三次为入库检，在物资入库过程中，随机抽取封存一件（套）物资，寄送至检测机构进行质检。</w:t>
      </w:r>
      <w:r>
        <w:rPr>
          <w:rFonts w:hint="eastAsia" w:ascii="仿宋" w:hAnsi="仿宋" w:eastAsia="仿宋" w:cs="仿宋"/>
          <w:color w:val="auto"/>
          <w:sz w:val="24"/>
          <w:szCs w:val="24"/>
          <w:highlight w:val="none"/>
        </w:rPr>
        <w:t>采购单位发现中标单位制作的货物不符招标文件参数内容或其他影响正常使用的质量问题，要求中标单位重新制作符合招标参数质量的货物，因货物质量造成采购单位的所有损失由中标单位承担。</w:t>
      </w:r>
    </w:p>
    <w:p w14:paraId="47933218">
      <w:pPr>
        <w:pageBreakBefore w:val="0"/>
        <w:shd w:val="clear"/>
        <w:tabs>
          <w:tab w:val="left" w:pos="480"/>
        </w:tabs>
        <w:kinsoku/>
        <w:overflowPunct/>
        <w:topLinePunct w:val="0"/>
        <w:bidi w:val="0"/>
        <w:spacing w:line="40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2.如果使用后发现褪色、掉色以及缩水后尺寸小于招标参数尺寸的纺织品，采购单位有权自由处置不符合招标参数的货物，并要求中标单位重新制作符合招标参数的货物，并扣除本批次货物金额或履约保证金不予支付，因不符合招标参数的货物而产生的所有损失由违约中标单位承担，采购单位保留一切权利。采购单位发现此类情况出现后有权在任意时间解除合同。</w:t>
      </w:r>
    </w:p>
    <w:p w14:paraId="7DCEED27">
      <w:pPr>
        <w:pageBreakBefore w:val="0"/>
        <w:shd w:val="clear"/>
        <w:tabs>
          <w:tab w:val="left" w:pos="480"/>
        </w:tabs>
        <w:kinsoku/>
        <w:overflowPunct/>
        <w:topLinePunct w:val="0"/>
        <w:bidi w:val="0"/>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（二）产品质保期</w:t>
      </w:r>
    </w:p>
    <w:p w14:paraId="7C4F7118">
      <w:pPr>
        <w:pageBreakBefore w:val="0"/>
        <w:shd w:val="clear"/>
        <w:kinsoku/>
        <w:overflowPunct/>
        <w:topLinePunct w:val="0"/>
        <w:bidi w:val="0"/>
        <w:spacing w:line="40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1、所有货物，质保期</w:t>
      </w:r>
      <w:r>
        <w:rPr>
          <w:rFonts w:hint="eastAsia" w:ascii="仿宋" w:hAnsi="仿宋" w:eastAsia="仿宋" w:cs="仿宋"/>
          <w:color w:val="auto"/>
          <w:sz w:val="24"/>
          <w:highlight w:val="none"/>
          <w:lang w:val="en-US" w:eastAsia="zh-CN"/>
        </w:rPr>
        <w:t>为在库期间，在库时间超过最佳储存年限的，以最佳储存年限为准</w:t>
      </w:r>
      <w:r>
        <w:rPr>
          <w:rFonts w:hint="eastAsia" w:ascii="仿宋" w:hAnsi="仿宋" w:eastAsia="仿宋" w:cs="仿宋"/>
          <w:color w:val="auto"/>
          <w:sz w:val="24"/>
          <w:highlight w:val="none"/>
        </w:rPr>
        <w:t>。</w:t>
      </w:r>
    </w:p>
    <w:p w14:paraId="293169B2">
      <w:pPr>
        <w:pageBreakBefore w:val="0"/>
        <w:shd w:val="clear"/>
        <w:kinsoku/>
        <w:overflowPunct/>
        <w:topLinePunct w:val="0"/>
        <w:bidi w:val="0"/>
        <w:spacing w:line="400" w:lineRule="exac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七、服务要求</w:t>
      </w:r>
    </w:p>
    <w:p w14:paraId="5A86C9CC">
      <w:pPr>
        <w:pageBreakBefore w:val="0"/>
        <w:shd w:val="clear"/>
        <w:tabs>
          <w:tab w:val="left" w:pos="480"/>
        </w:tabs>
        <w:kinsoku/>
        <w:overflowPunct/>
        <w:topLinePunct w:val="0"/>
        <w:bidi w:val="0"/>
        <w:spacing w:line="40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1.本次招标单价，每月根据采购单位计划制作数量进行申报制作。单价包含税、包装、运输、拆卸、安装、清理垃圾等一切费用。预算金额仅供参考，结付以实际发生金额为准。</w:t>
      </w:r>
    </w:p>
    <w:p w14:paraId="0974B590">
      <w:pPr>
        <w:pageBreakBefore w:val="0"/>
        <w:shd w:val="clear"/>
        <w:tabs>
          <w:tab w:val="left" w:pos="480"/>
        </w:tabs>
        <w:kinsoku/>
        <w:overflowPunct/>
        <w:topLinePunct w:val="0"/>
        <w:bidi w:val="0"/>
        <w:spacing w:line="40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2.中标单位需将货物配送至采购单位库房，服从库管安排。所有搬运工作均由中标单位负责完成。所有进入采购单位的车辆及人员需报备</w:t>
      </w:r>
    </w:p>
    <w:p w14:paraId="67C5E609">
      <w:pPr>
        <w:pageBreakBefore w:val="0"/>
        <w:shd w:val="clear"/>
        <w:tabs>
          <w:tab w:val="left" w:pos="480"/>
        </w:tabs>
        <w:kinsoku/>
        <w:overflowPunct/>
        <w:topLinePunct w:val="0"/>
        <w:bidi w:val="0"/>
        <w:spacing w:line="40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3.采购单位提出采购的货物，必须由中标单位指定负责人来采购单位进行对接。中标单位需出具书面文件（负责人身份证需盖公司公章）明确1名负责人，由负责人与采购单位对接。中标单位不得擅自更换负责人，经采购单位同意后才能更换，且不得无故频繁更换。为应对紧急事件，需中标单位明确1名应急联络人（与负责人不能为同一人），中标单位需出具书面文件（应急联系人身份证需盖公司公章），应急联络人与负责人需24小时保持手机畅通。在合同执行过程中需要供应商应执行的伴随服务的服务标准或应当履行的相关义务。</w:t>
      </w:r>
    </w:p>
    <w:p w14:paraId="7E8B0705">
      <w:pPr>
        <w:pageBreakBefore w:val="0"/>
        <w:shd w:val="clear"/>
        <w:tabs>
          <w:tab w:val="left" w:pos="480"/>
        </w:tabs>
        <w:kinsoku/>
        <w:overflowPunct/>
        <w:topLinePunct w:val="0"/>
        <w:bidi w:val="0"/>
        <w:spacing w:line="40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4.如投标单位对招标货物有疑问无法确定，请提前联系采购单位解决，可参考采购单位现用实物。</w:t>
      </w:r>
    </w:p>
    <w:p w14:paraId="4D6848D0">
      <w:pPr>
        <w:pageBreakBefore w:val="0"/>
        <w:shd w:val="clear"/>
        <w:tabs>
          <w:tab w:val="left" w:pos="480"/>
        </w:tabs>
        <w:kinsoku/>
        <w:overflowPunct/>
        <w:topLinePunct w:val="0"/>
        <w:bidi w:val="0"/>
        <w:spacing w:line="400" w:lineRule="exac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八、技术与服务</w:t>
      </w:r>
    </w:p>
    <w:p w14:paraId="5EAA6447">
      <w:pPr>
        <w:pageBreakBefore w:val="0"/>
        <w:shd w:val="clear"/>
        <w:tabs>
          <w:tab w:val="left" w:pos="480"/>
        </w:tabs>
        <w:kinsoku/>
        <w:overflowPunct/>
        <w:topLinePunct w:val="0"/>
        <w:bidi w:val="0"/>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（一）技术资料：</w:t>
      </w:r>
    </w:p>
    <w:p w14:paraId="384AF241">
      <w:pPr>
        <w:pageBreakBefore w:val="0"/>
        <w:shd w:val="clear"/>
        <w:tabs>
          <w:tab w:val="left" w:pos="480"/>
        </w:tabs>
        <w:kinsoku/>
        <w:overflowPunct/>
        <w:topLinePunct w:val="0"/>
        <w:bidi w:val="0"/>
        <w:spacing w:line="4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1、货物合格证；</w:t>
      </w:r>
    </w:p>
    <w:p w14:paraId="4F367039">
      <w:pPr>
        <w:pageBreakBefore w:val="0"/>
        <w:shd w:val="clear"/>
        <w:tabs>
          <w:tab w:val="left" w:pos="480"/>
        </w:tabs>
        <w:kinsoku/>
        <w:overflowPunct/>
        <w:topLinePunct w:val="0"/>
        <w:bidi w:val="0"/>
        <w:spacing w:line="4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2、乙方提供相关部门出具的检验报告；</w:t>
      </w:r>
    </w:p>
    <w:p w14:paraId="01764BD9">
      <w:pPr>
        <w:pageBreakBefore w:val="0"/>
        <w:shd w:val="clear"/>
        <w:tabs>
          <w:tab w:val="left" w:pos="480"/>
        </w:tabs>
        <w:kinsoku/>
        <w:overflowPunct/>
        <w:topLinePunct w:val="0"/>
        <w:bidi w:val="0"/>
        <w:spacing w:line="4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3、其它资料。</w:t>
      </w:r>
    </w:p>
    <w:p w14:paraId="11242820">
      <w:pPr>
        <w:pageBreakBefore w:val="0"/>
        <w:shd w:val="clear"/>
        <w:tabs>
          <w:tab w:val="left" w:pos="480"/>
        </w:tabs>
        <w:kinsoku/>
        <w:overflowPunct/>
        <w:topLinePunct w:val="0"/>
        <w:bidi w:val="0"/>
        <w:spacing w:line="400" w:lineRule="exact"/>
        <w:ind w:firstLine="120" w:firstLineChars="50"/>
        <w:rPr>
          <w:rFonts w:hint="eastAsia" w:ascii="仿宋" w:hAnsi="仿宋" w:eastAsia="仿宋" w:cs="仿宋"/>
          <w:color w:val="auto"/>
          <w:sz w:val="24"/>
          <w:highlight w:val="none"/>
        </w:rPr>
      </w:pPr>
      <w:r>
        <w:rPr>
          <w:rFonts w:hint="eastAsia" w:ascii="仿宋" w:hAnsi="仿宋" w:eastAsia="仿宋" w:cs="仿宋"/>
          <w:color w:val="auto"/>
          <w:sz w:val="24"/>
          <w:highlight w:val="none"/>
        </w:rPr>
        <w:t>（二）服务承诺：以投标文件、澄清表（函）、合同和随货物的相关文件为准。</w:t>
      </w:r>
    </w:p>
    <w:p w14:paraId="433A57C3">
      <w:pPr>
        <w:pageBreakBefore w:val="0"/>
        <w:shd w:val="clear"/>
        <w:tabs>
          <w:tab w:val="left" w:pos="480"/>
        </w:tabs>
        <w:kinsoku/>
        <w:overflowPunct/>
        <w:topLinePunct w:val="0"/>
        <w:bidi w:val="0"/>
        <w:spacing w:line="400" w:lineRule="exac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九、违约责任</w:t>
      </w:r>
    </w:p>
    <w:p w14:paraId="2620FE9F">
      <w:pPr>
        <w:pageBreakBefore w:val="0"/>
        <w:shd w:val="clear"/>
        <w:tabs>
          <w:tab w:val="left" w:pos="480"/>
        </w:tabs>
        <w:kinsoku/>
        <w:overflowPunct/>
        <w:topLinePunct w:val="0"/>
        <w:bidi w:val="0"/>
        <w:spacing w:line="40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（一）按《中华人民共和国政府采购法》、《中华人民共和国民法典》中的相关条款执行。</w:t>
      </w:r>
    </w:p>
    <w:p w14:paraId="6094256F">
      <w:pPr>
        <w:pageBreakBefore w:val="0"/>
        <w:shd w:val="clear"/>
        <w:tabs>
          <w:tab w:val="left" w:pos="480"/>
        </w:tabs>
        <w:kinsoku/>
        <w:overflowPunct/>
        <w:topLinePunct w:val="0"/>
        <w:bidi w:val="0"/>
        <w:spacing w:line="400" w:lineRule="exact"/>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（二）乙方无法按期提交预付款保函，已签订合同自行终止。</w:t>
      </w:r>
    </w:p>
    <w:p w14:paraId="7968C36E">
      <w:pPr>
        <w:pageBreakBefore w:val="0"/>
        <w:shd w:val="clear"/>
        <w:tabs>
          <w:tab w:val="left" w:pos="480"/>
        </w:tabs>
        <w:kinsoku/>
        <w:overflowPunct/>
        <w:topLinePunct w:val="0"/>
        <w:bidi w:val="0"/>
        <w:spacing w:line="40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三）未按合同要求提供货物或质量不能满足招标文件技术要求，在约定的条件下，乙方必须无条件更换，提高技术，完善质量，否则，甲方有权解除合同，解除合同书面通知书到达乙方之日视为合同已解除，并按以下方式追究乙方的违约责任：</w:t>
      </w:r>
    </w:p>
    <w:p w14:paraId="47189049">
      <w:pPr>
        <w:pageBreakBefore w:val="0"/>
        <w:shd w:val="clear"/>
        <w:tabs>
          <w:tab w:val="left" w:pos="480"/>
        </w:tabs>
        <w:kinsoku/>
        <w:overflowPunct/>
        <w:topLinePunct w:val="0"/>
        <w:bidi w:val="0"/>
        <w:spacing w:line="40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 乙方需按照招标文件配合采购单位管理。不配合采购单位工作、货物验收有质量问题或质检报告不合格，甲方有权终止合同。</w:t>
      </w:r>
    </w:p>
    <w:p w14:paraId="4304BCCE">
      <w:pPr>
        <w:pageBreakBefore w:val="0"/>
        <w:shd w:val="clear"/>
        <w:tabs>
          <w:tab w:val="left" w:pos="480"/>
        </w:tabs>
        <w:kinsoku/>
        <w:overflowPunct/>
        <w:topLinePunct w:val="0"/>
        <w:bidi w:val="0"/>
        <w:spacing w:line="40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2.尺码按照甲方要求制作，不按甲方要求的尺寸导致被服尺寸不统一或偏大偏小，乙方予以免费更换，更换2次（包括2次）以上，甲方有权解除合同，解除合同书面通知书到达乙方之日视为合同已解除。</w:t>
      </w:r>
    </w:p>
    <w:p w14:paraId="2C32AB71">
      <w:pPr>
        <w:pageBreakBefore w:val="0"/>
        <w:shd w:val="clear"/>
        <w:tabs>
          <w:tab w:val="left" w:pos="480"/>
        </w:tabs>
        <w:kinsoku/>
        <w:overflowPunct/>
        <w:topLinePunct w:val="0"/>
        <w:bidi w:val="0"/>
        <w:spacing w:line="40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3.乙方如有调换产品，减低产品等级标准或提供存在质量缺陷产品，以劣充优，以假充真等违约行为的，一经查实，将取消其中标人资格。</w:t>
      </w:r>
    </w:p>
    <w:p w14:paraId="745DEF4C">
      <w:pPr>
        <w:pageBreakBefore w:val="0"/>
        <w:shd w:val="clear"/>
        <w:tabs>
          <w:tab w:val="left" w:pos="480"/>
        </w:tabs>
        <w:kinsoku/>
        <w:overflowPunct/>
        <w:topLinePunct w:val="0"/>
        <w:bidi w:val="0"/>
        <w:spacing w:line="40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4.甲方在被服使用过程中，如出现缩水率超标、产品质量不符合要求等问题时，甲方可按本次货物预算总价的20%进行处罚。 </w:t>
      </w:r>
    </w:p>
    <w:p w14:paraId="6E2BC547">
      <w:pPr>
        <w:pageBreakBefore w:val="0"/>
        <w:shd w:val="clear"/>
        <w:tabs>
          <w:tab w:val="left" w:pos="480"/>
        </w:tabs>
        <w:kinsoku/>
        <w:overflowPunct/>
        <w:topLinePunct w:val="0"/>
        <w:bidi w:val="0"/>
        <w:spacing w:line="40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5.以上所有招标要求及招标参数需明确写进合同中并执行。</w:t>
      </w:r>
    </w:p>
    <w:p w14:paraId="7E6183DB">
      <w:pPr>
        <w:pageBreakBefore w:val="0"/>
        <w:shd w:val="clear"/>
        <w:tabs>
          <w:tab w:val="left" w:pos="480"/>
        </w:tabs>
        <w:kinsoku/>
        <w:overflowPunct/>
        <w:topLinePunct w:val="0"/>
        <w:bidi w:val="0"/>
        <w:spacing w:line="400" w:lineRule="exac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十一、合同争议解决的方式</w:t>
      </w:r>
    </w:p>
    <w:p w14:paraId="5907A1BE">
      <w:pPr>
        <w:pageBreakBefore w:val="0"/>
        <w:shd w:val="clear"/>
        <w:tabs>
          <w:tab w:val="left" w:pos="480"/>
        </w:tabs>
        <w:kinsoku/>
        <w:overflowPunct/>
        <w:topLinePunct w:val="0"/>
        <w:bidi w:val="0"/>
        <w:spacing w:line="4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本合同在履行过程中发生的争议，由甲、乙双方当事人协商解决，协商不成的依法向甲方所在地人民法院起诉。</w:t>
      </w:r>
    </w:p>
    <w:p w14:paraId="060FA1A1">
      <w:pPr>
        <w:pageBreakBefore w:val="0"/>
        <w:shd w:val="clear"/>
        <w:tabs>
          <w:tab w:val="left" w:pos="480"/>
        </w:tabs>
        <w:kinsoku/>
        <w:overflowPunct/>
        <w:topLinePunct w:val="0"/>
        <w:bidi w:val="0"/>
        <w:spacing w:line="400" w:lineRule="exac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十二、合同生效</w:t>
      </w:r>
    </w:p>
    <w:p w14:paraId="77B90BD6">
      <w:pPr>
        <w:pageBreakBefore w:val="0"/>
        <w:shd w:val="clear"/>
        <w:tabs>
          <w:tab w:val="left" w:pos="480"/>
        </w:tabs>
        <w:kinsoku/>
        <w:overflowPunct/>
        <w:topLinePunct w:val="0"/>
        <w:bidi w:val="0"/>
        <w:spacing w:line="4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本合同一式陆份，甲方肆份，乙方、见证方各执壹份，本合同经甲方、乙方双方签字盖章</w:t>
      </w:r>
      <w:r>
        <w:rPr>
          <w:rFonts w:hint="eastAsia" w:ascii="仿宋" w:hAnsi="仿宋" w:eastAsia="仿宋" w:cs="仿宋"/>
          <w:color w:val="auto"/>
          <w:sz w:val="24"/>
          <w:highlight w:val="none"/>
          <w:lang w:val="en-US" w:eastAsia="zh-CN"/>
        </w:rPr>
        <w:t>且甲方收到预付款保函后</w:t>
      </w:r>
      <w:r>
        <w:rPr>
          <w:rFonts w:hint="eastAsia" w:ascii="仿宋" w:hAnsi="仿宋" w:eastAsia="仿宋" w:cs="仿宋"/>
          <w:color w:val="auto"/>
          <w:sz w:val="24"/>
          <w:highlight w:val="none"/>
        </w:rPr>
        <w:t>生效</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质保期结束后，自动终止（但合同的服务承诺除外）。</w:t>
      </w:r>
    </w:p>
    <w:p w14:paraId="091230C8">
      <w:pPr>
        <w:pageBreakBefore w:val="0"/>
        <w:shd w:val="clear"/>
        <w:tabs>
          <w:tab w:val="left" w:pos="480"/>
        </w:tabs>
        <w:kinsoku/>
        <w:overflowPunct/>
        <w:topLinePunct w:val="0"/>
        <w:bidi w:val="0"/>
        <w:spacing w:line="400" w:lineRule="exac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十三、其他事项</w:t>
      </w:r>
    </w:p>
    <w:p w14:paraId="37C3E431">
      <w:pPr>
        <w:pageBreakBefore w:val="0"/>
        <w:shd w:val="clear"/>
        <w:tabs>
          <w:tab w:val="left" w:pos="480"/>
        </w:tabs>
        <w:kinsoku/>
        <w:overflowPunct/>
        <w:topLinePunct w:val="0"/>
        <w:bidi w:val="0"/>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（一）见证方作为政府集中采购代理机构对合同进行确认。</w:t>
      </w:r>
    </w:p>
    <w:p w14:paraId="3FB278A2">
      <w:pPr>
        <w:pageBreakBefore w:val="0"/>
        <w:shd w:val="clear"/>
        <w:tabs>
          <w:tab w:val="left" w:pos="480"/>
        </w:tabs>
        <w:kinsoku/>
        <w:overflowPunct/>
        <w:topLinePunct w:val="0"/>
        <w:bidi w:val="0"/>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（二）西安市财政局政府采购管理处在合同的履行期间以及履行期后，可以随时检查项目的执行情况，对采购内容、标准进行调查核实，并对发现的问题进行处理。</w:t>
      </w:r>
    </w:p>
    <w:p w14:paraId="035B31B7">
      <w:pPr>
        <w:pageBreakBefore w:val="0"/>
        <w:shd w:val="clear"/>
        <w:tabs>
          <w:tab w:val="left" w:pos="480"/>
        </w:tabs>
        <w:kinsoku/>
        <w:overflowPunct/>
        <w:topLinePunct w:val="0"/>
        <w:bidi w:val="0"/>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（三）招标文件、投标文件、澄清表（函）、中标通知书、合同附件均成为合同不可分割的部分。</w:t>
      </w:r>
    </w:p>
    <w:p w14:paraId="122EBBC3">
      <w:pPr>
        <w:pageBreakBefore w:val="0"/>
        <w:shd w:val="clear"/>
        <w:tabs>
          <w:tab w:val="left" w:pos="480"/>
        </w:tabs>
        <w:kinsoku/>
        <w:overflowPunct/>
        <w:topLinePunct w:val="0"/>
        <w:bidi w:val="0"/>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（四）合同未尽事宜，由甲、乙双方协商，经见证方确认后，签订补充协议，与原合同具有同等法律效力。</w:t>
      </w:r>
    </w:p>
    <w:p w14:paraId="2006D658">
      <w:pPr>
        <w:pageBreakBefore w:val="0"/>
        <w:shd w:val="clear"/>
        <w:tabs>
          <w:tab w:val="left" w:pos="480"/>
        </w:tabs>
        <w:kinsoku/>
        <w:overflowPunct/>
        <w:topLinePunct w:val="0"/>
        <w:bidi w:val="0"/>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（五）合同一经签订，不得擅自变更、中止或终止合同。对确需变更、调整或中止、终止合同的，有法律规定的按照法律规定，除合同约定外，由甲乙双方再行协商，协商一致前，原合同或条款继续履行。</w:t>
      </w:r>
    </w:p>
    <w:p w14:paraId="0D2BDBD2">
      <w:pPr>
        <w:pageBreakBefore w:val="0"/>
        <w:shd w:val="clear"/>
        <w:tabs>
          <w:tab w:val="left" w:pos="480"/>
        </w:tabs>
        <w:kinsoku/>
        <w:overflowPunct/>
        <w:topLinePunct w:val="0"/>
        <w:bidi w:val="0"/>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（六）本合同按照中华人民共和国的现行法律进行解释。</w:t>
      </w:r>
    </w:p>
    <w:p w14:paraId="2C44532F">
      <w:pPr>
        <w:pageBreakBefore w:val="0"/>
        <w:shd w:val="clear"/>
        <w:tabs>
          <w:tab w:val="left" w:pos="480"/>
        </w:tabs>
        <w:kinsoku/>
        <w:overflowPunct/>
        <w:topLinePunct w:val="0"/>
        <w:bidi w:val="0"/>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（七）本合同附件作为本合同的组成部分，与本合同具有同等法律效力。</w:t>
      </w:r>
    </w:p>
    <w:p w14:paraId="127C6EB8">
      <w:pPr>
        <w:pageBreakBefore w:val="0"/>
        <w:shd w:val="clear"/>
        <w:tabs>
          <w:tab w:val="left" w:pos="480"/>
        </w:tabs>
        <w:kinsoku/>
        <w:overflowPunct/>
        <w:topLinePunct w:val="0"/>
        <w:bidi w:val="0"/>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（以下无正文）</w:t>
      </w:r>
    </w:p>
    <w:p w14:paraId="76BDCBB1">
      <w:pPr>
        <w:pStyle w:val="4"/>
        <w:pageBreakBefore w:val="0"/>
        <w:shd w:val="clear"/>
        <w:kinsoku/>
        <w:overflowPunct/>
        <w:topLinePunct w:val="0"/>
        <w:bidi w:val="0"/>
        <w:spacing w:line="400" w:lineRule="exact"/>
        <w:rPr>
          <w:rFonts w:hint="eastAsia" w:ascii="仿宋" w:hAnsi="仿宋" w:eastAsia="仿宋" w:cs="仿宋"/>
          <w:color w:val="auto"/>
          <w:sz w:val="24"/>
          <w:szCs w:val="24"/>
          <w:highlight w:val="none"/>
        </w:rPr>
      </w:pPr>
    </w:p>
    <w:p w14:paraId="6754E007">
      <w:pPr>
        <w:pageBreakBefore w:val="0"/>
        <w:shd w:val="clear"/>
        <w:tabs>
          <w:tab w:val="left" w:pos="480"/>
        </w:tabs>
        <w:kinsoku/>
        <w:overflowPunct/>
        <w:topLinePunct w:val="0"/>
        <w:bidi w:val="0"/>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甲  方（法人公章）                          乙  方（法人公章）</w:t>
      </w:r>
    </w:p>
    <w:p w14:paraId="601DF47C">
      <w:pPr>
        <w:pageBreakBefore w:val="0"/>
        <w:shd w:val="clear"/>
        <w:tabs>
          <w:tab w:val="left" w:pos="480"/>
        </w:tabs>
        <w:kinsoku/>
        <w:overflowPunct/>
        <w:topLinePunct w:val="0"/>
        <w:bidi w:val="0"/>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单位名称：</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单位名称:xxxx</w:t>
      </w:r>
    </w:p>
    <w:p w14:paraId="3113D495">
      <w:pPr>
        <w:pageBreakBefore w:val="0"/>
        <w:shd w:val="clear"/>
        <w:tabs>
          <w:tab w:val="left" w:pos="480"/>
        </w:tabs>
        <w:kinsoku/>
        <w:overflowPunct/>
        <w:topLinePunct w:val="0"/>
        <w:bidi w:val="0"/>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地  址：                                    地  址：xxxx</w:t>
      </w:r>
    </w:p>
    <w:p w14:paraId="0943A45C">
      <w:pPr>
        <w:pageBreakBefore w:val="0"/>
        <w:shd w:val="clear"/>
        <w:tabs>
          <w:tab w:val="left" w:pos="480"/>
        </w:tabs>
        <w:kinsoku/>
        <w:overflowPunct/>
        <w:topLinePunct w:val="0"/>
        <w:bidi w:val="0"/>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法定代表人：（签字）                        法定代表人：（签字） </w:t>
      </w:r>
    </w:p>
    <w:p w14:paraId="39039DF5">
      <w:pPr>
        <w:pageBreakBefore w:val="0"/>
        <w:shd w:val="clear"/>
        <w:tabs>
          <w:tab w:val="left" w:pos="480"/>
        </w:tabs>
        <w:kinsoku/>
        <w:overflowPunct/>
        <w:topLinePunct w:val="0"/>
        <w:bidi w:val="0"/>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代理人：（签字）                            代理人：（签字）</w:t>
      </w:r>
    </w:p>
    <w:p w14:paraId="07344384">
      <w:pPr>
        <w:pageBreakBefore w:val="0"/>
        <w:shd w:val="clear"/>
        <w:tabs>
          <w:tab w:val="left" w:pos="480"/>
        </w:tabs>
        <w:kinsoku/>
        <w:overflowPunct/>
        <w:topLinePunct w:val="0"/>
        <w:bidi w:val="0"/>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经办人：                                   开户银行:xxxx</w:t>
      </w:r>
    </w:p>
    <w:p w14:paraId="703DF7A5">
      <w:pPr>
        <w:pageBreakBefore w:val="0"/>
        <w:shd w:val="clear"/>
        <w:tabs>
          <w:tab w:val="left" w:pos="480"/>
        </w:tabs>
        <w:kinsoku/>
        <w:overflowPunct/>
        <w:topLinePunct w:val="0"/>
        <w:bidi w:val="0"/>
        <w:spacing w:line="400" w:lineRule="exact"/>
        <w:ind w:firstLine="5160" w:firstLineChars="2150"/>
        <w:rPr>
          <w:rFonts w:hint="eastAsia" w:ascii="仿宋" w:hAnsi="仿宋" w:eastAsia="仿宋" w:cs="仿宋"/>
          <w:color w:val="auto"/>
          <w:sz w:val="24"/>
          <w:highlight w:val="none"/>
        </w:rPr>
      </w:pPr>
      <w:r>
        <w:rPr>
          <w:rFonts w:hint="eastAsia" w:ascii="仿宋" w:hAnsi="仿宋" w:eastAsia="仿宋" w:cs="仿宋"/>
          <w:color w:val="auto"/>
          <w:sz w:val="24"/>
          <w:highlight w:val="none"/>
        </w:rPr>
        <w:t>帐    号：xxxx</w:t>
      </w:r>
    </w:p>
    <w:p w14:paraId="64332C79">
      <w:pPr>
        <w:pageBreakBefore w:val="0"/>
        <w:shd w:val="clear"/>
        <w:tabs>
          <w:tab w:val="left" w:pos="480"/>
        </w:tabs>
        <w:kinsoku/>
        <w:overflowPunct/>
        <w:topLinePunct w:val="0"/>
        <w:bidi w:val="0"/>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签订日期：</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年  月  日                   签订日期：</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年  月  日</w:t>
      </w:r>
    </w:p>
    <w:p w14:paraId="32726475">
      <w:pPr>
        <w:pStyle w:val="7"/>
        <w:shd w:val="clear"/>
        <w:rPr>
          <w:rFonts w:hint="eastAsia"/>
          <w:color w:val="auto"/>
          <w:highlight w:val="none"/>
          <w:lang w:val="en-US" w:eastAsia="zh-Hans"/>
        </w:rPr>
      </w:pPr>
    </w:p>
    <w:p w14:paraId="3B22CE30">
      <w:pPr>
        <w:shd w:val="clea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1678DF"/>
    <w:rsid w:val="2C380499"/>
    <w:rsid w:val="580A6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annotation text"/>
    <w:basedOn w:val="1"/>
    <w:qFormat/>
    <w:uiPriority w:val="99"/>
    <w:pPr>
      <w:jc w:val="left"/>
    </w:pPr>
  </w:style>
  <w:style w:type="paragraph" w:styleId="3">
    <w:name w:val="Body Text"/>
    <w:basedOn w:val="1"/>
    <w:next w:val="1"/>
    <w:qFormat/>
    <w:uiPriority w:val="0"/>
    <w:pPr>
      <w:tabs>
        <w:tab w:val="left" w:pos="567"/>
      </w:tabs>
      <w:spacing w:before="120" w:line="22" w:lineRule="atLeast"/>
    </w:pPr>
    <w:rPr>
      <w:rFonts w:ascii="宋体" w:hAnsi="宋体"/>
      <w:sz w:val="24"/>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2856</Words>
  <Characters>2926</Characters>
  <Lines>0</Lines>
  <Paragraphs>0</Paragraphs>
  <TotalTime>1</TotalTime>
  <ScaleCrop>false</ScaleCrop>
  <LinksUpToDate>false</LinksUpToDate>
  <CharactersWithSpaces>3161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2025-12-24T10:50:00Z</dcterms:created>
  <dc:creator>Administrator</dc:creator>
  <cp:lastModifiedBy>四部古月</cp:lastModifiedBy>
  <dcterms:modified xsi:type="dcterms:W3CDTF">2026-07-30T10:39:18Z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eyJoZGlkIjoiMWRmYmRjMDgxNTA5NmRmMzllMzUxMTYyNmRmNzI4MDkiLCJ1c2VySWQiOiIyNDEwNjE3OTEifQ==</vt:lpwstr>
  </property>
  <property fmtid="{D5CDD505-2E9C-101B-9397-08002B2CF9AE}" pid="4" name="ICV">
    <vt:lpwstr>365E2FA1F5D04E8E8A0AA48B7C493641_13</vt:lpwstr>
  </property>
</Properties>
</file>