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版本号：HRZBXA2026-120（1）20260701001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大雁塔小学石桥华洲城分校扩建项目专项审计调查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HRZBXA2026-120（1）</w:t>
      </w:r>
      <w:r>
        <w:br/>
      </w:r>
      <w:r>
        <w:br/>
      </w:r>
      <w:r>
        <w:br/>
      </w:r>
    </w:p>
    <w:p>
      <w:pPr>
        <w:pStyle w:val="null3"/>
        <w:jc w:val="center"/>
        <w:outlineLvl w:val="2"/>
      </w:pPr>
      <w:r>
        <w:rPr>
          <w:rFonts w:ascii="仿宋_GB2312" w:hAnsi="仿宋_GB2312" w:cs="仿宋_GB2312" w:eastAsia="仿宋_GB2312"/>
          <w:sz w:val="28"/>
          <w:b/>
        </w:rPr>
        <w:t>西安市雁塔区审计局</w:t>
      </w:r>
    </w:p>
    <w:p>
      <w:pPr>
        <w:pStyle w:val="null3"/>
        <w:jc w:val="center"/>
        <w:outlineLvl w:val="2"/>
      </w:pPr>
      <w:r>
        <w:rPr>
          <w:rFonts w:ascii="仿宋_GB2312" w:hAnsi="仿宋_GB2312" w:cs="仿宋_GB2312" w:eastAsia="仿宋_GB2312"/>
          <w:sz w:val="28"/>
          <w:b/>
        </w:rPr>
        <w:t>陕西恒瑞项目管理有限公司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西安市雁塔区审计局</w:t>
      </w:r>
      <w:r>
        <w:rPr>
          <w:rFonts w:ascii="仿宋_GB2312" w:hAnsi="仿宋_GB2312" w:cs="仿宋_GB2312" w:eastAsia="仿宋_GB2312"/>
        </w:rPr>
        <w:t>委托，拟对</w:t>
      </w:r>
      <w:r>
        <w:rPr>
          <w:rFonts w:ascii="仿宋_GB2312" w:hAnsi="仿宋_GB2312" w:cs="仿宋_GB2312" w:eastAsia="仿宋_GB2312"/>
        </w:rPr>
        <w:t>大雁塔小学石桥华洲城分校扩建项目专项审计调查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HRZBXA2026-120（1）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大雁塔小学石桥华洲城分校扩建项目专项审计调查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总投资15749.98万元。项目位于雁塔区大寨路西段，西三环以东，皂河西侧，现学校以北。项目建设规模及主要内容:总建筑面积约20997平方米，其中，地上面积约13905平方米，建设内容主要为:综合教学楼1栋、风雨操场、餐厅、门房及其他公用工程等。地下面积约7092平方米，建筑内容主要为设备用房、停车场及人防等;室外道路、绿化等。审计内容包含：重大政策贯彻落实、基本建设程序、招投标及合同执行情况、质量安全及建设管理、工程结算情况、竣工决算及财务收支情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采购包1（大雁塔小学石桥华洲城分校扩建项目专项审计调查）：属于专门面向中小企业采购。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2、拟派项目负责人：拟派项目负责人须具备一级注册造价工程师证书且在本单位注册</w:t>
      </w:r>
    </w:p>
    <w:p>
      <w:pPr>
        <w:pStyle w:val="null3"/>
      </w:pPr>
      <w:r>
        <w:rPr>
          <w:rFonts w:ascii="仿宋_GB2312" w:hAnsi="仿宋_GB2312" w:cs="仿宋_GB2312" w:eastAsia="仿宋_GB2312"/>
        </w:rPr>
        <w:t>3、供应商信誉要求：供应商在“信用中国”网站（www.creditchina.gov.cn）、“中国政府采购网”网站（www.ccgp.gov.cn)等未被列入失信被执行人名单、重大税收违法案件当事人名单、政府采购严重违法失信行为记录名单；对列入失信被执行人、政府采购严重违法失信行为记录名单的供应商，拒绝参与本项目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西安市雁塔区审计局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郭鑫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85381751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西安市雁塔区科技四路与鱼化一路交汇处（春风心语·春风苑东门）17号商业楼三楼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王乃义、张雨莉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18829232807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照国家计委关于印发《招标代理服务收费管理暂行办法》（计价格[2002]1980号）的通知和《国家发改委关于降低部分建设项目收费标准规范收费行为等有关问题的通知》（发改价格〔2011〕534号）的有关规定，按服务类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西安市雁塔区审计局</w:t>
      </w:r>
      <w:r>
        <w:rPr>
          <w:rFonts w:ascii="仿宋_GB2312" w:hAnsi="仿宋_GB2312" w:cs="仿宋_GB2312" w:eastAsia="仿宋_GB2312"/>
        </w:rPr>
        <w:t>和</w:t>
      </w:r>
      <w:r>
        <w:rPr>
          <w:rFonts w:ascii="仿宋_GB2312" w:hAnsi="仿宋_GB2312" w:cs="仿宋_GB2312" w:eastAsia="仿宋_GB2312"/>
        </w:rPr>
        <w:t>陕西恒瑞项目管理有限公司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西安市雁塔区审计局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西安市雁塔区审计局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详见合同及磋商文件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联系电话：18829232807</w:t>
      </w:r>
    </w:p>
    <w:p>
      <w:pPr>
        <w:pStyle w:val="null3"/>
      </w:pPr>
      <w:r>
        <w:rPr>
          <w:rFonts w:ascii="仿宋_GB2312" w:hAnsi="仿宋_GB2312" w:cs="仿宋_GB2312" w:eastAsia="仿宋_GB2312"/>
        </w:rPr>
        <w:t>地址：西安市雁塔区科技四路与鱼化一路交汇处（春风心语·春风苑东门）17号商业楼三楼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总投资15749.98万元。项目位于雁塔区大寨路西段，西三环以东，皂河西侧，现学校以北。项目建设规模及主要内容:总建筑面积约20997平方米，其中，地上面积约13905平方米，建设内容主要为:综合教学楼1栋、风雨操场、餐厅、门房及其他公用工程等。地下面积约7092平方米，建筑内容主要为设备用房、停车场及人防等;室外道路、绿化等。审计内容包含：重大政策贯彻落实、基本建设程序、招投标及合同执行情况、质量安全及建设管理、工程结算情况、竣工决算及财务收支情况。</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大雁塔小学石桥华洲城分校扩建项目专项审计调查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标的名称：大雁塔小学石桥华洲城分校扩建项目专项审计调查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w:t>
            </w:r>
            <w:r>
              <w:rPr>
                <w:rFonts w:ascii="仿宋_GB2312" w:hAnsi="仿宋_GB2312" w:cs="仿宋_GB2312" w:eastAsia="仿宋_GB2312"/>
              </w:rPr>
              <w:t>概况</w:t>
            </w:r>
          </w:p>
          <w:p>
            <w:pPr>
              <w:pStyle w:val="null3"/>
            </w:pPr>
            <w:r>
              <w:rPr>
                <w:rFonts w:ascii="仿宋_GB2312" w:hAnsi="仿宋_GB2312" w:cs="仿宋_GB2312" w:eastAsia="仿宋_GB2312"/>
              </w:rPr>
              <w:t>项目总投资</w:t>
            </w:r>
            <w:r>
              <w:rPr>
                <w:rFonts w:ascii="仿宋_GB2312" w:hAnsi="仿宋_GB2312" w:cs="仿宋_GB2312" w:eastAsia="仿宋_GB2312"/>
              </w:rPr>
              <w:t>15749.98万元。项目位于雁塔区大寨路西段，西三环以东，皂河西侧，现学校以北。项目建设规模及主要内容:总建筑面积约20997平方米，其中，地上面积约13905平方米，建设内容主要为:综合教学楼1栋、风雨操场、餐厅、门房及其他公用工程等。地下面积约7092平方米，建筑内容主要为设备用房、停车场及人防等;室外道路、绿化等。审计内容包含：重大政策贯彻落实、基本建设程序、招投标及合同执行情况、质量安全及建设管理、工程结算情况、竣工决算及财务收支情况。</w:t>
            </w:r>
          </w:p>
          <w:p>
            <w:pPr>
              <w:pStyle w:val="null3"/>
            </w:pPr>
            <w:r>
              <w:rPr>
                <w:rFonts w:ascii="仿宋_GB2312" w:hAnsi="仿宋_GB2312" w:cs="仿宋_GB2312" w:eastAsia="仿宋_GB2312"/>
              </w:rPr>
              <w:t>二</w:t>
            </w:r>
            <w:r>
              <w:rPr>
                <w:rFonts w:ascii="仿宋_GB2312" w:hAnsi="仿宋_GB2312" w:cs="仿宋_GB2312" w:eastAsia="仿宋_GB2312"/>
              </w:rPr>
              <w:t>、</w:t>
            </w:r>
            <w:r>
              <w:rPr>
                <w:rFonts w:ascii="仿宋_GB2312" w:hAnsi="仿宋_GB2312" w:cs="仿宋_GB2312" w:eastAsia="仿宋_GB2312"/>
              </w:rPr>
              <w:t>服务内容</w:t>
            </w:r>
          </w:p>
          <w:p>
            <w:pPr>
              <w:pStyle w:val="null3"/>
            </w:pPr>
            <w:r>
              <w:rPr>
                <w:rFonts w:ascii="仿宋_GB2312" w:hAnsi="仿宋_GB2312" w:cs="仿宋_GB2312" w:eastAsia="仿宋_GB2312"/>
              </w:rPr>
              <w:t>通过审计，确认建设工程项目投资的真实性、合法性，保障交付</w:t>
            </w:r>
            <w:r>
              <w:rPr>
                <w:rFonts w:ascii="仿宋_GB2312" w:hAnsi="仿宋_GB2312" w:cs="仿宋_GB2312" w:eastAsia="仿宋_GB2312"/>
              </w:rPr>
              <w:t>使用资产的真实性、完整性，揭示项目投资建设和管理中存在的问题，评价项目的投资效益，促进项目单位不断总结经验，加强项目管理，保障建设资金合理合法和有效使用。</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重点检查该项目竣工决算是否真实合法，交付使用资产是否真</w:t>
            </w:r>
            <w:r>
              <w:rPr>
                <w:rFonts w:ascii="仿宋_GB2312" w:hAnsi="仿宋_GB2312" w:cs="仿宋_GB2312" w:eastAsia="仿宋_GB2312"/>
              </w:rPr>
              <w:t>实完整，项目建设和管理是否符合法律法规，包括以下内容：</w:t>
            </w:r>
          </w:p>
          <w:p>
            <w:pPr>
              <w:pStyle w:val="null3"/>
            </w:pPr>
            <w:r>
              <w:rPr>
                <w:rFonts w:ascii="仿宋_GB2312" w:hAnsi="仿宋_GB2312" w:cs="仿宋_GB2312" w:eastAsia="仿宋_GB2312"/>
              </w:rPr>
              <w:t>（</w:t>
            </w:r>
            <w:r>
              <w:rPr>
                <w:rFonts w:ascii="仿宋_GB2312" w:hAnsi="仿宋_GB2312" w:cs="仿宋_GB2312" w:eastAsia="仿宋_GB2312"/>
              </w:rPr>
              <w:t>1）重大政策贯彻落实</w:t>
            </w:r>
          </w:p>
          <w:p>
            <w:pPr>
              <w:pStyle w:val="null3"/>
            </w:pPr>
            <w:r>
              <w:rPr>
                <w:rFonts w:ascii="仿宋_GB2312" w:hAnsi="仿宋_GB2312" w:cs="仿宋_GB2312" w:eastAsia="仿宋_GB2312"/>
              </w:rPr>
              <w:t>（</w:t>
            </w:r>
            <w:r>
              <w:rPr>
                <w:rFonts w:ascii="仿宋_GB2312" w:hAnsi="仿宋_GB2312" w:cs="仿宋_GB2312" w:eastAsia="仿宋_GB2312"/>
              </w:rPr>
              <w:t xml:space="preserve">2）基本建设程序  </w:t>
            </w:r>
          </w:p>
          <w:p>
            <w:pPr>
              <w:pStyle w:val="null3"/>
            </w:pPr>
            <w:r>
              <w:rPr>
                <w:rFonts w:ascii="仿宋_GB2312" w:hAnsi="仿宋_GB2312" w:cs="仿宋_GB2312" w:eastAsia="仿宋_GB2312"/>
              </w:rPr>
              <w:t>（</w:t>
            </w:r>
            <w:r>
              <w:rPr>
                <w:rFonts w:ascii="仿宋_GB2312" w:hAnsi="仿宋_GB2312" w:cs="仿宋_GB2312" w:eastAsia="仿宋_GB2312"/>
              </w:rPr>
              <w:t>3）招标投标及合同执行</w:t>
            </w:r>
          </w:p>
          <w:p>
            <w:pPr>
              <w:pStyle w:val="null3"/>
            </w:pPr>
            <w:r>
              <w:rPr>
                <w:rFonts w:ascii="仿宋_GB2312" w:hAnsi="仿宋_GB2312" w:cs="仿宋_GB2312" w:eastAsia="仿宋_GB2312"/>
              </w:rPr>
              <w:t>（</w:t>
            </w:r>
            <w:r>
              <w:rPr>
                <w:rFonts w:ascii="仿宋_GB2312" w:hAnsi="仿宋_GB2312" w:cs="仿宋_GB2312" w:eastAsia="仿宋_GB2312"/>
              </w:rPr>
              <w:t>4）质量安全及建设管理</w:t>
            </w:r>
          </w:p>
          <w:p>
            <w:pPr>
              <w:pStyle w:val="null3"/>
            </w:pPr>
            <w:r>
              <w:rPr>
                <w:rFonts w:ascii="仿宋_GB2312" w:hAnsi="仿宋_GB2312" w:cs="仿宋_GB2312" w:eastAsia="仿宋_GB2312"/>
              </w:rPr>
              <w:t>（</w:t>
            </w:r>
            <w:r>
              <w:rPr>
                <w:rFonts w:ascii="仿宋_GB2312" w:hAnsi="仿宋_GB2312" w:cs="仿宋_GB2312" w:eastAsia="仿宋_GB2312"/>
              </w:rPr>
              <w:t>5）审查工程结算情况</w:t>
            </w:r>
          </w:p>
          <w:p>
            <w:pPr>
              <w:pStyle w:val="null3"/>
            </w:pPr>
            <w:r>
              <w:rPr>
                <w:rFonts w:ascii="仿宋_GB2312" w:hAnsi="仿宋_GB2312" w:cs="仿宋_GB2312" w:eastAsia="仿宋_GB2312"/>
              </w:rPr>
              <w:t>（</w:t>
            </w:r>
            <w:r>
              <w:rPr>
                <w:rFonts w:ascii="仿宋_GB2312" w:hAnsi="仿宋_GB2312" w:cs="仿宋_GB2312" w:eastAsia="仿宋_GB2312"/>
              </w:rPr>
              <w:t>6）竣工决算及财务收支</w:t>
            </w:r>
          </w:p>
          <w:p>
            <w:pPr>
              <w:pStyle w:val="null3"/>
            </w:pPr>
            <w:r>
              <w:rPr>
                <w:rFonts w:ascii="仿宋_GB2312" w:hAnsi="仿宋_GB2312" w:cs="仿宋_GB2312" w:eastAsia="仿宋_GB2312"/>
              </w:rPr>
              <w:t>四、服务要求</w:t>
            </w:r>
            <w:r>
              <w:rPr>
                <w:rFonts w:ascii="仿宋_GB2312" w:hAnsi="仿宋_GB2312" w:cs="仿宋_GB2312" w:eastAsia="仿宋_GB2312"/>
              </w:rPr>
              <w:t xml:space="preserve"> </w:t>
            </w:r>
          </w:p>
          <w:p>
            <w:pPr>
              <w:pStyle w:val="null3"/>
            </w:pPr>
            <w:r>
              <w:rPr>
                <w:rFonts w:ascii="仿宋_GB2312" w:hAnsi="仿宋_GB2312" w:cs="仿宋_GB2312" w:eastAsia="仿宋_GB2312"/>
              </w:rPr>
              <w:t>质量标准：符合国家、省、市相关法律、法规、政策要求。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本项目最高预算金额45.00万元。送审金额：暂按15749.98万元计。 报价要求：工程审计基本费率最高限价：2‰，审减（增）额审计费（成果费）率最高限价：5%；。供应商的响应报价高于最高限价的，其响应报价将按无效处理。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成交人出具成果性文件，并配合采购人完成绩效评价。经采购人复核、验收后，成交供应商开具等额正规发票，采购人需在当年年度内一次性向成交人支付100%咨询服务费。（注：采购人最终付款结算金额不得高于采购最高限价。），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单位未全面履行合同义务或者发生违约，采购单位有权终止合同，依法向成交单位进行经济索赔，并报请采购监督管理机关进行相应的行政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请成交供应商在领取成交通知书前将纸质版磋商响应文件正本1册、副本1册打印盖章后递交至采购代理公司处，以便采购人进行留存备案等工作，成交供应商应保持磋商响应文件纸质版内容与电子版内容完全一致，否则将承担一切法律责任。2.磋商报价次数、磋商程序和最终报价的产生原则：本次磋商采用二次报价。磋商程序为：1）磋商小组对所有提交的响应文件进行评审；2）磋商小组所有成员集中与单一供应商分别进行磋商；3）供应商按照要求提交二次报价；4）磋商小组评审、推荐成交候选人。在磋商过程中，磋商小组可以根据磋商文件和磋商情况实质性变动采购需求中的技术、服务要求以及合同草案条款，二次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2、具有良好的商业信誉和健全的财务会计制度（提供2024年度财务审计报告或银行资信证明或财政部门认可的政府采购专业担保机构出具的投标担保函）； 3、具有履行合同所必需的设备和专业技术能力（格式详见附件）； 4、具有依法缴纳税收和社会保障资金的良好记录（同时提供磋商截止时间前6个月内缴存的任意时段的社保及税收缴纳证明；依法不需要缴纳的应提供相关证明文件)； 5、参加政府采购活动前三年内，在经营活动中没有重大违法记录（格式详见附件）。求填写《投标函》完成承诺并进行电子签章。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具有良好的商业信誉和健全的财务会计制度(提供2024年度财务审计报告或银行资信证明或财政部门认可的政府采购专业担保机构出具的投标担保函）；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法人授权委托书.docx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拟派项目负责人须具备一级注册造价工程师证书且在本单位注册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在“信用中国”网站（www.creditchina.gov.cn）、“中国政府采购网”网站（www.ccgp.gov.cn)等未被列入失信被执行人名单、重大税收违法案件当事人名单、政府采购严重违法失信行为记录名单；对列入失信被执行人、政府采购严重违法失信行为记录名单的供应商，拒绝参与本项目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商务应答表 供应商应提交的相关资格证明材料 标的清单 服务内容及服务要求应答表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项目总体方案</w:t>
            </w:r>
          </w:p>
        </w:tc>
        <w:tc>
          <w:tcPr>
            <w:tcW w:type="dxa" w:w="2492"/>
          </w:tcPr>
          <w:p>
            <w:pPr>
              <w:pStyle w:val="null3"/>
            </w:pPr>
            <w:r>
              <w:rPr>
                <w:rFonts w:ascii="仿宋_GB2312" w:hAnsi="仿宋_GB2312" w:cs="仿宋_GB2312" w:eastAsia="仿宋_GB2312"/>
              </w:rPr>
              <w:t>供应商须针对本项目的审核内容阐述具体实施方案。①项目审计的具体范围。②审计的总体目标。③ 项目问题的总体解决思路④具体政策法规及技术标准。⑤组织架构与职责分工。以上内容专门针对本项目且符合本项目实际需求的得15分，每缺一项内容扣3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工作理解及流程</w:t>
            </w:r>
          </w:p>
        </w:tc>
        <w:tc>
          <w:tcPr>
            <w:tcW w:type="dxa" w:w="2492"/>
          </w:tcPr>
          <w:p>
            <w:pPr>
              <w:pStyle w:val="null3"/>
            </w:pPr>
            <w:r>
              <w:rPr>
                <w:rFonts w:ascii="仿宋_GB2312" w:hAnsi="仿宋_GB2312" w:cs="仿宋_GB2312" w:eastAsia="仿宋_GB2312"/>
              </w:rPr>
              <w:t>① 提供针对本项目的具体工作流程图。②对流程图中每个节点明确、责任岗位、时限要求，关键控制环节及处置规则。以上内容专门针对本项目且符合本项目实际需求的得6分，每缺一项内容扣3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计划与实施方案</w:t>
            </w:r>
          </w:p>
        </w:tc>
        <w:tc>
          <w:tcPr>
            <w:tcW w:type="dxa" w:w="2492"/>
          </w:tcPr>
          <w:p>
            <w:pPr>
              <w:pStyle w:val="null3"/>
            </w:pPr>
            <w:r>
              <w:rPr>
                <w:rFonts w:ascii="仿宋_GB2312" w:hAnsi="仿宋_GB2312" w:cs="仿宋_GB2312" w:eastAsia="仿宋_GB2312"/>
              </w:rPr>
              <w:t>①按日或按周的详细时间计划表。②人员配置清单。③资料收集及缺失补救方案。④具体实施方法。⑤应急调整方案。以上内容专门针对本项目且符合本项目实际需求的得10分，每缺一项内容扣2分，若上述内容存在瑕疵，每存在1处瑕疵扣1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质量控制保障措施</w:t>
            </w:r>
          </w:p>
        </w:tc>
        <w:tc>
          <w:tcPr>
            <w:tcW w:type="dxa" w:w="2492"/>
          </w:tcPr>
          <w:p>
            <w:pPr>
              <w:pStyle w:val="null3"/>
            </w:pPr>
            <w:r>
              <w:rPr>
                <w:rFonts w:ascii="仿宋_GB2312" w:hAnsi="仿宋_GB2312" w:cs="仿宋_GB2312" w:eastAsia="仿宋_GB2312"/>
              </w:rPr>
              <w:t>①三级复核制度。②底稿编制与复核的具体规范。③疑问事项与分歧解决机制。④针对本项目的专项质控点。⑤质量记录与档案管理制度。以上内容专门针对本项目且符合本项目实际需求的得10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①进度滞后预警机制。②资源配置保障。③针对外部因素的具体预案。④与委托方的定期沟通报告制度。以上内容专门针对本项目且符合本项目实际需求的得12分，每缺一项内容扣3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针对本项目需求组建项目团队；①项目负责人具备高级工程师得4分，工程师职称得2分，其余不得分。 ②拟派项目团队人员，具有一级注册造价工程师资格的且在本单位注册的在职人员,每有1名得3分，最多得6分。 ③拟派项目团队人员（除项目负责人及造价工程师外），具有工程师及以上职称在职人员,每有1名得3分，最多得6分。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①针对每个重难点分别提出具体解决措施。②分析原审计可能存在的偏差类型。以上内容专门针对本项目且符合本项目实际需求的得6分，每缺一项内容扣3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投标人提供2023年1月1日至今类似项目业绩；每提供一个项目得5分,最高得15分。业绩证明文件需提供合同复印件。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投标价为评标基准价，其价格分为满分。磋商报价得分=（评审基准价/磋商报价）×价格权值×100。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详见附件：法人授权委托书.docx</w:t>
      </w:r>
    </w:p>
    <w:p>
      <w:pPr>
        <w:pStyle w:val="null3"/>
        <w:ind w:firstLine="960"/>
      </w:pPr>
      <w:r>
        <w:rPr>
          <w:rFonts w:ascii="仿宋_GB2312" w:hAnsi="仿宋_GB2312" w:cs="仿宋_GB2312" w:eastAsia="仿宋_GB2312"/>
        </w:rPr>
        <w:t>详见附件：磋商一览表.docx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