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版本号：ZX2026-06-35.1B120260715002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仓储货架采购项目(二次)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ZX2026-06-35.1B1</w:t>
      </w:r>
      <w:r>
        <w:br/>
      </w:r>
      <w:r>
        <w:br/>
      </w:r>
      <w:r>
        <w:br/>
      </w:r>
    </w:p>
    <w:p>
      <w:pPr>
        <w:pStyle w:val="null3"/>
        <w:jc w:val="center"/>
        <w:outlineLvl w:val="2"/>
      </w:pPr>
      <w:r>
        <w:rPr>
          <w:rFonts w:ascii="仿宋_GB2312" w:hAnsi="仿宋_GB2312" w:cs="仿宋_GB2312" w:eastAsia="仿宋_GB2312"/>
          <w:sz w:val="28"/>
          <w:b/>
        </w:rPr>
        <w:t>陕西省救灾物资储备中心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陕西省救灾物资储备中心</w:t>
      </w:r>
      <w:r>
        <w:rPr>
          <w:rFonts w:ascii="仿宋_GB2312" w:hAnsi="仿宋_GB2312" w:cs="仿宋_GB2312" w:eastAsia="仿宋_GB2312"/>
        </w:rPr>
        <w:t>委托，拟对</w:t>
      </w:r>
      <w:r>
        <w:rPr>
          <w:rFonts w:ascii="仿宋_GB2312" w:hAnsi="仿宋_GB2312" w:cs="仿宋_GB2312" w:eastAsia="仿宋_GB2312"/>
        </w:rPr>
        <w:t>仓储货架采购项目(二次)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ZX2026-06-35.1B1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仓储货架采购项目(二次)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仓储货架采购项目(二次)，1批。具体采购内容详见招标文件第三章。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采购包1（仓储货架采购项目）：属于专门面向中小企业采购。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陕西省救灾物资储备中心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029-86320705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李雨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采购包1保证金金额：10,635.00元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履约保证金应在合同签订时以支票、汇票、本票或者金融机构、担保机构出具的保函等非现金形式向采购人提交，提交履约保证金时须注明项目名称、采购编号及用途(履约保证金)。产品到货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代理服务费收费标准：参照国家计委颁布的《招标代理服务收费管理暂行办法》（计价格[2002]1980号）和（发改办价格[2003]857号）收费标准按预算金额收取。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陕西省救灾物资储备中心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陕西省救灾物资储备中心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陕西省救灾物资储备中心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刘汝樨</w:t>
      </w:r>
    </w:p>
    <w:p>
      <w:pPr>
        <w:pStyle w:val="null3"/>
      </w:pPr>
      <w:r>
        <w:rPr>
          <w:rFonts w:ascii="仿宋_GB2312" w:hAnsi="仿宋_GB2312" w:cs="仿宋_GB2312" w:eastAsia="仿宋_GB2312"/>
        </w:rPr>
        <w:t>联系电话：2669106094@qq.com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仓储货架采购项目，1批。具体采购内容详见招标文件第三章。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非标堆垛架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标的名称：非标堆垛架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非标堆垛架</w:t>
            </w:r>
          </w:p>
          <w:p>
            <w:pPr>
              <w:pStyle w:val="null3"/>
            </w:pPr>
            <w:r>
              <w:rPr>
                <w:rFonts w:ascii="仿宋_GB2312" w:hAnsi="仿宋_GB2312" w:cs="仿宋_GB2312" w:eastAsia="仿宋_GB2312"/>
              </w:rPr>
              <w:t>1.尺寸：W2400（外）*D1350（外）*H1660（外）</w:t>
            </w:r>
          </w:p>
          <w:p>
            <w:pPr>
              <w:pStyle w:val="null3"/>
            </w:pPr>
            <w:r>
              <w:rPr>
                <w:rFonts w:ascii="仿宋_GB2312" w:hAnsi="仿宋_GB2312" w:cs="仿宋_GB2312" w:eastAsia="仿宋_GB2312"/>
              </w:rPr>
              <w:t>2.承载：</w:t>
            </w:r>
            <w:r>
              <w:rPr>
                <w:rFonts w:ascii="仿宋_GB2312" w:hAnsi="仿宋_GB2312" w:cs="仿宋_GB2312" w:eastAsia="仿宋_GB2312"/>
              </w:rPr>
              <w:t>荷载</w:t>
            </w:r>
            <w:r>
              <w:rPr>
                <w:rFonts w:ascii="仿宋_GB2312" w:hAnsi="仿宋_GB2312" w:cs="仿宋_GB2312" w:eastAsia="仿宋_GB2312"/>
              </w:rPr>
              <w:t>≥2000KG，满足3层堆放要求</w:t>
            </w:r>
          </w:p>
          <w:p>
            <w:pPr>
              <w:pStyle w:val="null3"/>
            </w:pPr>
            <w:r>
              <w:rPr>
                <w:rFonts w:ascii="仿宋_GB2312" w:hAnsi="仿宋_GB2312" w:cs="仿宋_GB2312" w:eastAsia="仿宋_GB2312"/>
              </w:rPr>
              <w:t>3.焊接：请保证焊接强度，焊接满足规范，无倒刺、毛边。</w:t>
            </w:r>
          </w:p>
          <w:p>
            <w:pPr>
              <w:pStyle w:val="null3"/>
            </w:pPr>
            <w:r>
              <w:rPr>
                <w:rFonts w:ascii="仿宋_GB2312" w:hAnsi="仿宋_GB2312" w:cs="仿宋_GB2312" w:eastAsia="仿宋_GB2312"/>
              </w:rPr>
              <w:t>4.颜色：橘红色RAL2004</w:t>
            </w:r>
          </w:p>
          <w:p>
            <w:pPr>
              <w:pStyle w:val="null3"/>
            </w:pPr>
            <w:r>
              <w:rPr>
                <w:rFonts w:ascii="仿宋_GB2312" w:hAnsi="仿宋_GB2312" w:cs="仿宋_GB2312" w:eastAsia="仿宋_GB2312"/>
              </w:rPr>
              <w:t>5.用材：Q235</w:t>
            </w:r>
          </w:p>
          <w:p>
            <w:pPr>
              <w:pStyle w:val="null3"/>
            </w:pPr>
            <w:r>
              <w:rPr>
                <w:rFonts w:ascii="仿宋_GB2312" w:hAnsi="仿宋_GB2312" w:cs="仿宋_GB2312" w:eastAsia="仿宋_GB2312"/>
              </w:rPr>
              <w:t>6.其他：具体尺寸详见图纸。</w:t>
            </w:r>
          </w:p>
          <w:p>
            <w:pPr>
              <w:pStyle w:val="null3"/>
              <w:jc w:val="both"/>
            </w:pPr>
            <w:r>
              <w:drawing>
                <wp:inline distT="0" distR="0" distB="0" distL="0">
                  <wp:extent cx="1621155" cy="114538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45385"/>
                          </a:xfrm>
                          <a:prstGeom prst="rect">
                            <a:avLst/>
                          </a:prstGeom>
                        </pic:spPr>
                      </pic:pic>
                    </a:graphicData>
                  </a:graphic>
                </wp:inline>
              </w:drawing>
            </w:r>
            <w:r>
              <w:br/>
            </w:r>
            <w:r>
              <w:br/>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1.非标堆垛架单价最高限价:1250元；</w:t>
            </w:r>
          </w:p>
          <w:p>
            <w:pPr>
              <w:pStyle w:val="null3"/>
              <w:jc w:val="both"/>
            </w:pPr>
            <w:r>
              <w:rPr>
                <w:rFonts w:ascii="仿宋_GB2312" w:hAnsi="仿宋_GB2312" w:cs="仿宋_GB2312" w:eastAsia="仿宋_GB2312"/>
                <w:sz w:val="21"/>
              </w:rPr>
              <w:t>2.投标人报价不得超过产品单价最高限价。</w:t>
            </w:r>
            <w:r>
              <w:br/>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陕西省救灾物资储备中心指定地点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进度款，所有产品交货安装完成，经采购人验收合格后，达到付款条件起10个工作日内，支付合同总金额的60.0%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质量保修范围：采购标的所有内容。质保期：验收合格后至少半年。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 3.5.3本项目落实《国务院办公厅关于在政府采购中实施本国产品标准及相关政策的通知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报价未超过招标文件中规定最高限价的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3承诺书.docx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基本分25分：完全符合、响应招标文件要求，没有负偏离计25分；每负偏离1项扣5分。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针对本项目特点及技术要求，提供全面详细的整体深化设计及实施方案。 满足项目实际要求，无瑕疵计6分， 每有1处瑕疵扣1分， 存在6处及以上瑕疵或未提供，不计分。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6整体方案.docx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针对本项目特点及要求，提供详细的供货质量保障制度及实施方案，确保设备使用可靠、稳定、性能充分发挥； 满足项目实际要求，无瑕疵计4分， 每有1处瑕疵扣1分，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根据本项目要求，提供供货及安装等进度保障方案。 满足项目实际要求，无瑕疵计2分， 每有1处瑕疵扣1分， 存在2处及以上瑕疵或未提供，不计分。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8进度保障方案.docx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充分了解项目要求，针对本项目实施过程中的风险点、突发情况等提供相应解决方案，确保设备顺利交货及验收完成。 满足项目实际要求，无瑕疵计2分， 每有1处瑕疵扣1分， 存在2处及以上瑕疵或未提供，不计分。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9应急处置方案.docx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①人员配备需满足项目实施的各类人员，负责人应具备与本项目相关工作经验（须提供以前负责完成类似项目的相关证明材料 ），提供1份计2分，满分4分。 ②团队配置（除负责人外）：提供针对该项目的生产厂家人员配备情况（资质证件及社保证明），提供1人计1分，满分6分。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10人员配备.docx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提供所投产品货源渠道正常，无产权纠纷，提供所投产品合法来源渠道证明文件（包括但不限于销售协议、代理协议、原厂授权等）。 提供计3分，不提供不计分。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1日至今同类项目合同扫描件（以合同签订日期为准），扫描件必须清晰体现签约主体和日期、项目名称及内容、合同金额等核心要素，否则不计为有效业绩。每提供1个有效业绩得2.5分，最高得10分。 备注：投标文件中提供合同扫描件加盖公章。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要求，提供技术培训方案，培训采购人指定的技术人员和配送人员，制定对应的培训课程计划，培训内容应包括所提供设备的原理和技术性能、设备生产要点与操作维护方法、安装调试、排除故障等各个方面，培训的具体日期及人数由使用单位确定。 满足项目实际要求，无瑕疵计2分， 每有1处瑕疵扣1分， 存在2处及以上瑕疵或未提供，不计分。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13培训方案.docx</w:t>
            </w:r>
          </w:p>
        </w:tc>
      </w:tr>
      <w:tr>
        <w:tc>
          <w:tcPr>
            <w:tcW w:type="dxa" w:w="831"/>
            <w:vMerge/>
          </w:tcPr>
          <w:p/>
        </w:tc>
        <w:tc>
          <w:tcPr>
            <w:tcW w:type="dxa" w:w="1661"/>
          </w:tcPr>
          <w:p>
            <w:pPr>
              <w:pStyle w:val="null3"/>
            </w:pPr>
            <w:r>
              <w:rPr>
                <w:rFonts w:ascii="仿宋_GB2312" w:hAnsi="仿宋_GB2312" w:cs="仿宋_GB2312" w:eastAsia="仿宋_GB2312"/>
              </w:rPr>
              <w:t>售后服务机构</w:t>
            </w:r>
          </w:p>
        </w:tc>
        <w:tc>
          <w:tcPr>
            <w:tcW w:type="dxa" w:w="2492"/>
          </w:tcPr>
          <w:p>
            <w:pPr>
              <w:pStyle w:val="null3"/>
            </w:pPr>
            <w:r>
              <w:rPr>
                <w:rFonts w:ascii="仿宋_GB2312" w:hAnsi="仿宋_GB2312" w:cs="仿宋_GB2312" w:eastAsia="仿宋_GB2312"/>
              </w:rPr>
              <w:t>售后服务机构健全，能够提供本地化服务的得1分；未提供不计分。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14售后服务方案.docx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根据项目实际需求提供售后服务方案。内容包含：①具有本地化履约服务能力（提供相关证明材料）、售后服务流程、服务方式、响应时间②常规产品保养和维护的日程安排及措施。 满足项目实际要求，无瑕疵计4分， 每有1处瑕疵扣1分，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15节能环保.docx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价格分统一采用低价优先法计算，即满足招标文件要求且投标单价合计最低的投标单价合计报价为评标基准价，其价格分为满分。其他投标人的价格分统一按照下列公式计算： 价格分=(评标基准价／投标单价合计报价)×报价分值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详见附件：6整体方案.docx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详见附件：8进度保障方案.docx</w:t>
      </w:r>
    </w:p>
    <w:p>
      <w:pPr>
        <w:pStyle w:val="null3"/>
        <w:ind w:firstLine="960"/>
      </w:pPr>
      <w:r>
        <w:rPr>
          <w:rFonts w:ascii="仿宋_GB2312" w:hAnsi="仿宋_GB2312" w:cs="仿宋_GB2312" w:eastAsia="仿宋_GB2312"/>
        </w:rPr>
        <w:t>详见附件：9应急处置方案.docx</w:t>
      </w:r>
    </w:p>
    <w:p>
      <w:pPr>
        <w:pStyle w:val="null3"/>
        <w:ind w:firstLine="960"/>
      </w:pPr>
      <w:r>
        <w:rPr>
          <w:rFonts w:ascii="仿宋_GB2312" w:hAnsi="仿宋_GB2312" w:cs="仿宋_GB2312" w:eastAsia="仿宋_GB2312"/>
        </w:rPr>
        <w:t>详见附件：10人员配备.docx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详见附件：13培训方案.docx</w:t>
      </w:r>
    </w:p>
    <w:p>
      <w:pPr>
        <w:pStyle w:val="null3"/>
        <w:ind w:firstLine="960"/>
      </w:pPr>
      <w:r>
        <w:rPr>
          <w:rFonts w:ascii="仿宋_GB2312" w:hAnsi="仿宋_GB2312" w:cs="仿宋_GB2312" w:eastAsia="仿宋_GB2312"/>
        </w:rPr>
        <w:t>详见附件：14售后服务方案.docx</w:t>
      </w:r>
    </w:p>
    <w:p>
      <w:pPr>
        <w:pStyle w:val="null3"/>
        <w:ind w:firstLine="960"/>
      </w:pPr>
      <w:r>
        <w:rPr>
          <w:rFonts w:ascii="仿宋_GB2312" w:hAnsi="仿宋_GB2312" w:cs="仿宋_GB2312" w:eastAsia="仿宋_GB2312"/>
        </w:rPr>
        <w:t>详见附件：15节能环保.docx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