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93AF6">
      <w:pPr>
        <w:pStyle w:val="4"/>
        <w:spacing w:line="720" w:lineRule="auto"/>
        <w:ind w:firstLine="643" w:firstLineChars="200"/>
        <w:jc w:val="center"/>
        <w:rPr>
          <w:rFonts w:ascii="仿宋" w:hAnsi="仿宋" w:cs="MingLiU_HKSCS"/>
          <w:b/>
          <w:bCs/>
          <w:sz w:val="32"/>
          <w:szCs w:val="32"/>
        </w:rPr>
      </w:pPr>
      <w:r>
        <w:rPr>
          <w:rFonts w:hint="eastAsia" w:ascii="仿宋" w:hAnsi="仿宋"/>
          <w:b/>
          <w:bCs/>
          <w:sz w:val="32"/>
          <w:szCs w:val="32"/>
        </w:rPr>
        <w:t>实质性商务部分偏离表</w:t>
      </w:r>
    </w:p>
    <w:p w14:paraId="2905BC00">
      <w:pPr>
        <w:pStyle w:val="4"/>
        <w:spacing w:line="336" w:lineRule="auto"/>
        <w:ind w:firstLine="280" w:firstLineChars="100"/>
        <w:rPr>
          <w:rFonts w:hint="default" w:ascii="仿宋" w:hAnsi="仿宋"/>
          <w:sz w:val="28"/>
          <w:szCs w:val="28"/>
          <w:lang w:val="en-US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0ABBF180">
      <w:pPr>
        <w:pStyle w:val="4"/>
        <w:spacing w:line="336" w:lineRule="auto"/>
        <w:ind w:firstLine="280" w:firstLineChars="100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项目编号：</w:t>
      </w:r>
      <w:r>
        <w:rPr>
          <w:rFonts w:hint="eastAsia" w:ascii="仿宋" w:hAnsi="仿宋"/>
          <w:sz w:val="28"/>
          <w:szCs w:val="28"/>
          <w:u w:val="single"/>
        </w:rPr>
        <w:t xml:space="preserve"> </w:t>
      </w:r>
      <w:r>
        <w:rPr>
          <w:rFonts w:ascii="仿宋" w:hAnsi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/>
          <w:sz w:val="28"/>
          <w:szCs w:val="28"/>
        </w:rPr>
        <w:t xml:space="preserve">　 </w:t>
      </w:r>
      <w:r>
        <w:rPr>
          <w:rFonts w:ascii="仿宋" w:hAnsi="仿宋"/>
          <w:sz w:val="28"/>
          <w:szCs w:val="28"/>
        </w:rPr>
        <w:t xml:space="preserve">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2866"/>
        <w:gridCol w:w="3034"/>
        <w:gridCol w:w="1233"/>
        <w:gridCol w:w="1063"/>
      </w:tblGrid>
      <w:tr w14:paraId="4922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1" w:type="dxa"/>
            <w:noWrap w:val="0"/>
            <w:vAlign w:val="center"/>
          </w:tcPr>
          <w:p w14:paraId="1892B982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序号</w:t>
            </w:r>
          </w:p>
        </w:tc>
        <w:tc>
          <w:tcPr>
            <w:tcW w:w="2866" w:type="dxa"/>
            <w:noWrap w:val="0"/>
            <w:vAlign w:val="center"/>
          </w:tcPr>
          <w:p w14:paraId="60FC140F">
            <w:pPr>
              <w:pStyle w:val="4"/>
              <w:spacing w:line="240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招标文件的</w:t>
            </w:r>
          </w:p>
          <w:p w14:paraId="0B2FEF97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商务部分</w:t>
            </w:r>
          </w:p>
        </w:tc>
        <w:tc>
          <w:tcPr>
            <w:tcW w:w="3034" w:type="dxa"/>
            <w:noWrap w:val="0"/>
            <w:vAlign w:val="center"/>
          </w:tcPr>
          <w:p w14:paraId="2AD8618A">
            <w:pPr>
              <w:pStyle w:val="4"/>
              <w:spacing w:line="240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投标文件的</w:t>
            </w:r>
          </w:p>
          <w:p w14:paraId="2E501B08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商务部分</w:t>
            </w:r>
          </w:p>
        </w:tc>
        <w:tc>
          <w:tcPr>
            <w:tcW w:w="1233" w:type="dxa"/>
            <w:noWrap w:val="0"/>
            <w:vAlign w:val="center"/>
          </w:tcPr>
          <w:p w14:paraId="4155B57A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</w:t>
            </w:r>
          </w:p>
        </w:tc>
        <w:tc>
          <w:tcPr>
            <w:tcW w:w="1063" w:type="dxa"/>
            <w:noWrap w:val="0"/>
            <w:vAlign w:val="center"/>
          </w:tcPr>
          <w:p w14:paraId="0E2D086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MingLiU_HKSCS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53F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noWrap w:val="0"/>
            <w:vAlign w:val="center"/>
          </w:tcPr>
          <w:p w14:paraId="79090486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2866" w:type="dxa"/>
            <w:noWrap w:val="0"/>
            <w:vAlign w:val="center"/>
          </w:tcPr>
          <w:p w14:paraId="570C3C9D">
            <w:pPr>
              <w:pStyle w:val="4"/>
              <w:spacing w:line="240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34" w:type="dxa"/>
            <w:noWrap w:val="0"/>
            <w:vAlign w:val="center"/>
          </w:tcPr>
          <w:p w14:paraId="4C1BAA3A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7EA03F7B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C2901B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6C85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noWrap w:val="0"/>
            <w:vAlign w:val="center"/>
          </w:tcPr>
          <w:p w14:paraId="22344E68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2866" w:type="dxa"/>
            <w:noWrap w:val="0"/>
            <w:vAlign w:val="center"/>
          </w:tcPr>
          <w:p w14:paraId="09B817FA">
            <w:pPr>
              <w:pStyle w:val="4"/>
              <w:spacing w:line="240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34" w:type="dxa"/>
            <w:noWrap w:val="0"/>
            <w:vAlign w:val="center"/>
          </w:tcPr>
          <w:p w14:paraId="5BAD26B5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72B0B570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1F5043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764A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noWrap w:val="0"/>
            <w:vAlign w:val="center"/>
          </w:tcPr>
          <w:p w14:paraId="3C834D68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2866" w:type="dxa"/>
            <w:noWrap w:val="0"/>
            <w:vAlign w:val="center"/>
          </w:tcPr>
          <w:p w14:paraId="764323E4">
            <w:pPr>
              <w:pStyle w:val="4"/>
              <w:spacing w:line="240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34" w:type="dxa"/>
            <w:noWrap w:val="0"/>
            <w:vAlign w:val="center"/>
          </w:tcPr>
          <w:p w14:paraId="1D2634EC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545A5781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291EA4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A7C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noWrap w:val="0"/>
            <w:vAlign w:val="center"/>
          </w:tcPr>
          <w:p w14:paraId="235D15B9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2866" w:type="dxa"/>
            <w:noWrap w:val="0"/>
            <w:vAlign w:val="center"/>
          </w:tcPr>
          <w:p w14:paraId="72F63177">
            <w:pPr>
              <w:pStyle w:val="4"/>
              <w:spacing w:line="240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34" w:type="dxa"/>
            <w:noWrap w:val="0"/>
            <w:vAlign w:val="center"/>
          </w:tcPr>
          <w:p w14:paraId="4B246C0C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54E0E4EB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1EEFCF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9B9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1" w:type="dxa"/>
            <w:noWrap w:val="0"/>
            <w:vAlign w:val="center"/>
          </w:tcPr>
          <w:p w14:paraId="014818D7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2866" w:type="dxa"/>
            <w:noWrap w:val="0"/>
            <w:vAlign w:val="center"/>
          </w:tcPr>
          <w:p w14:paraId="5374B8FB">
            <w:pPr>
              <w:pStyle w:val="4"/>
              <w:spacing w:line="240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34" w:type="dxa"/>
            <w:noWrap w:val="0"/>
            <w:vAlign w:val="center"/>
          </w:tcPr>
          <w:p w14:paraId="4EDD1EBE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3EA77C72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F42176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624984F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" w:hAnsi="仿宋"/>
          <w:sz w:val="24"/>
          <w:szCs w:val="24"/>
        </w:rPr>
      </w:pPr>
      <w:r>
        <w:rPr>
          <w:rFonts w:hint="eastAsia" w:ascii="仿宋" w:hAnsi="仿宋"/>
          <w:sz w:val="24"/>
          <w:szCs w:val="24"/>
        </w:rPr>
        <w:t>说明：</w:t>
      </w:r>
    </w:p>
    <w:p w14:paraId="6EC0984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/>
          <w:sz w:val="24"/>
          <w:szCs w:val="24"/>
        </w:rPr>
        <w:t>1</w:t>
      </w:r>
      <w:r>
        <w:rPr>
          <w:rFonts w:hint="eastAsia" w:ascii="仿宋" w:hAnsi="仿宋"/>
          <w:sz w:val="24"/>
          <w:szCs w:val="24"/>
          <w:lang w:val="en-US" w:eastAsia="zh-CN"/>
        </w:rPr>
        <w:t>.</w:t>
      </w:r>
      <w:r>
        <w:rPr>
          <w:rFonts w:hint="eastAsia" w:ascii="仿宋" w:hAnsi="仿宋"/>
          <w:sz w:val="24"/>
          <w:szCs w:val="24"/>
        </w:rPr>
        <w:t>填写</w:t>
      </w:r>
      <w:r>
        <w:rPr>
          <w:rFonts w:hint="eastAsia" w:ascii="仿宋" w:hAnsi="仿宋"/>
          <w:b/>
          <w:bCs/>
          <w:sz w:val="24"/>
          <w:szCs w:val="24"/>
        </w:rPr>
        <w:t>第三章3.4商务要求中“交货时间、交货地点、质量保修范围和保修期、支付约定</w:t>
      </w:r>
      <w:r>
        <w:rPr>
          <w:rFonts w:hint="eastAsia" w:ascii="仿宋" w:hAnsi="仿宋"/>
          <w:sz w:val="24"/>
          <w:szCs w:val="24"/>
        </w:rPr>
        <w:t>的内容</w:t>
      </w:r>
      <w:r>
        <w:rPr>
          <w:rFonts w:hint="eastAsia" w:ascii="仿宋" w:hAnsi="仿宋"/>
          <w:sz w:val="24"/>
          <w:szCs w:val="24"/>
          <w:lang w:eastAsia="zh-CN"/>
        </w:rPr>
        <w:t>；</w:t>
      </w:r>
      <w:bookmarkStart w:id="0" w:name="_GoBack"/>
      <w:bookmarkEnd w:id="0"/>
    </w:p>
    <w:p w14:paraId="0830187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" w:hAnsi="仿宋" w:eastAsia="仿宋" w:cs="Times New Roman"/>
          <w:sz w:val="24"/>
          <w:szCs w:val="24"/>
          <w:lang w:eastAsia="zh-CN"/>
        </w:rPr>
      </w:pPr>
      <w:r>
        <w:rPr>
          <w:rFonts w:hint="eastAsia" w:ascii="仿宋" w:hAnsi="仿宋" w:cs="Times New Roman"/>
          <w:sz w:val="24"/>
          <w:szCs w:val="24"/>
        </w:rPr>
        <w:t>2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.</w:t>
      </w:r>
      <w:r>
        <w:rPr>
          <w:rFonts w:hint="eastAsia" w:ascii="仿宋" w:hAnsi="仿宋" w:cs="Times New Roman"/>
          <w:sz w:val="24"/>
          <w:szCs w:val="24"/>
        </w:rPr>
        <w:t>偏离项注明“正偏离”“负偏离”或“完全响应”</w:t>
      </w:r>
      <w:r>
        <w:rPr>
          <w:rFonts w:hint="eastAsia" w:ascii="仿宋" w:hAnsi="仿宋" w:cs="Times New Roman"/>
          <w:sz w:val="24"/>
          <w:szCs w:val="24"/>
          <w:lang w:eastAsia="zh-CN"/>
        </w:rPr>
        <w:t>；</w:t>
      </w:r>
    </w:p>
    <w:p w14:paraId="4745B2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" w:hAnsi="仿宋" w:eastAsia="仿宋" w:cs="Times New Roman"/>
          <w:sz w:val="24"/>
          <w:szCs w:val="24"/>
          <w:lang w:eastAsia="zh-CN"/>
        </w:rPr>
      </w:pPr>
      <w:r>
        <w:rPr>
          <w:rFonts w:hint="eastAsia" w:ascii="仿宋" w:hAnsi="仿宋" w:cs="Times New Roman"/>
          <w:sz w:val="24"/>
          <w:szCs w:val="24"/>
        </w:rPr>
        <w:t>3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.未在表中列明但在投标文件中客观存在的偏离</w:t>
      </w:r>
      <w:r>
        <w:rPr>
          <w:rFonts w:hint="eastAsia" w:ascii="仿宋" w:hAnsi="仿宋" w:cs="Times New Roman"/>
          <w:sz w:val="24"/>
          <w:szCs w:val="24"/>
        </w:rPr>
        <w:t>，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按</w:t>
      </w:r>
      <w:r>
        <w:rPr>
          <w:rFonts w:hint="eastAsia" w:ascii="仿宋" w:hAnsi="仿宋" w:cs="Times New Roman"/>
          <w:sz w:val="24"/>
          <w:szCs w:val="24"/>
        </w:rPr>
        <w:t>负偏离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处理</w:t>
      </w:r>
      <w:r>
        <w:rPr>
          <w:rFonts w:hint="eastAsia" w:ascii="仿宋" w:hAnsi="仿宋" w:cs="Times New Roman"/>
          <w:sz w:val="24"/>
          <w:szCs w:val="24"/>
        </w:rPr>
        <w:t>，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并</w:t>
      </w:r>
      <w:r>
        <w:rPr>
          <w:rFonts w:hint="eastAsia" w:ascii="仿宋" w:hAnsi="仿宋" w:cs="Times New Roman"/>
          <w:sz w:val="24"/>
          <w:szCs w:val="24"/>
        </w:rPr>
        <w:t>按照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招标</w:t>
      </w:r>
      <w:r>
        <w:rPr>
          <w:rFonts w:hint="eastAsia" w:ascii="仿宋" w:hAnsi="仿宋" w:cs="Times New Roman"/>
          <w:sz w:val="24"/>
          <w:szCs w:val="24"/>
        </w:rPr>
        <w:t>文件的规定执行。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中标人不得在</w:t>
      </w:r>
      <w:r>
        <w:rPr>
          <w:rFonts w:hint="eastAsia" w:ascii="仿宋" w:hAnsi="仿宋" w:cs="Times New Roman"/>
          <w:sz w:val="24"/>
          <w:szCs w:val="24"/>
        </w:rPr>
        <w:t>合同签订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及履行过程中提出异议</w:t>
      </w:r>
      <w:r>
        <w:rPr>
          <w:rFonts w:hint="eastAsia" w:ascii="仿宋" w:hAnsi="仿宋" w:cs="Times New Roman"/>
          <w:sz w:val="24"/>
          <w:szCs w:val="24"/>
          <w:lang w:eastAsia="zh-CN"/>
        </w:rPr>
        <w:t>；</w:t>
      </w:r>
    </w:p>
    <w:p w14:paraId="7CD4CDA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" w:hAnsi="仿宋" w:cs="Times New Roman"/>
          <w:sz w:val="24"/>
          <w:szCs w:val="24"/>
        </w:rPr>
      </w:pPr>
      <w:r>
        <w:rPr>
          <w:rFonts w:hint="eastAsia" w:ascii="仿宋" w:hAnsi="仿宋" w:cs="Times New Roman"/>
          <w:sz w:val="24"/>
          <w:szCs w:val="24"/>
        </w:rPr>
        <w:t>4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.未填写或</w:t>
      </w:r>
      <w:r>
        <w:rPr>
          <w:rFonts w:hint="eastAsia" w:ascii="仿宋" w:hAnsi="仿宋" w:cs="Times New Roman"/>
          <w:sz w:val="24"/>
          <w:szCs w:val="24"/>
        </w:rPr>
        <w:t>未按</w:t>
      </w:r>
      <w:r>
        <w:rPr>
          <w:rFonts w:hint="eastAsia" w:ascii="仿宋" w:hAnsi="仿宋" w:cs="Times New Roman"/>
          <w:sz w:val="24"/>
          <w:szCs w:val="24"/>
          <w:lang w:val="en-US" w:eastAsia="zh-CN"/>
        </w:rPr>
        <w:t>要求填写“</w:t>
      </w:r>
      <w:r>
        <w:rPr>
          <w:rFonts w:hint="eastAsia" w:ascii="仿宋" w:hAnsi="仿宋" w:cs="Times New Roman"/>
          <w:sz w:val="24"/>
          <w:szCs w:val="24"/>
        </w:rPr>
        <w:t>★</w:t>
      </w:r>
      <w:r>
        <w:rPr>
          <w:rFonts w:hint="eastAsia" w:ascii="仿宋" w:hAnsi="仿宋" w:cs="Times New Roman"/>
          <w:sz w:val="24"/>
          <w:szCs w:val="24"/>
          <w:lang w:eastAsia="zh-CN"/>
        </w:rPr>
        <w:t>”</w:t>
      </w:r>
      <w:r>
        <w:rPr>
          <w:rFonts w:hint="eastAsia" w:ascii="仿宋" w:hAnsi="仿宋" w:cs="Times New Roman"/>
          <w:sz w:val="24"/>
          <w:szCs w:val="24"/>
        </w:rPr>
        <w:t>号内容，视为“完全响应”。</w:t>
      </w:r>
    </w:p>
    <w:p w14:paraId="2A271AA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</w:rPr>
      </w:pPr>
    </w:p>
    <w:p w14:paraId="1A105C1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</w:rPr>
      </w:pPr>
    </w:p>
    <w:p w14:paraId="5041E8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hint="eastAsia" w:ascii="仿宋" w:hAnsi="仿宋"/>
          <w:sz w:val="28"/>
          <w:szCs w:val="28"/>
          <w:lang w:eastAsia="zh-CN"/>
        </w:rPr>
        <w:t>（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hint="eastAsia" w:ascii="仿宋" w:hAnsi="仿宋"/>
          <w:sz w:val="28"/>
          <w:szCs w:val="28"/>
          <w:lang w:eastAsia="zh-CN"/>
        </w:rPr>
        <w:t>）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      </w:t>
      </w:r>
    </w:p>
    <w:p w14:paraId="4142184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/>
          <w:sz w:val="28"/>
          <w:szCs w:val="28"/>
        </w:rPr>
        <w:t>日</w:t>
      </w:r>
    </w:p>
    <w:p w14:paraId="5EC50865"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2D8801DA"/>
    <w:rsid w:val="35B7411F"/>
    <w:rsid w:val="62F50644"/>
    <w:rsid w:val="6CEF1749"/>
    <w:rsid w:val="6EBA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234</Characters>
  <Lines>0</Lines>
  <Paragraphs>0</Paragraphs>
  <TotalTime>0</TotalTime>
  <ScaleCrop>false</ScaleCrop>
  <LinksUpToDate>false</LinksUpToDate>
  <CharactersWithSpaces>318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2024-03-20T04:31:00Z</dcterms:created>
  <dc:creator>admin</dc:creator>
  <cp:lastModifiedBy>李雨</cp:lastModifiedBy>
  <dcterms:modified xsi:type="dcterms:W3CDTF">2026-06-12T07:21:09Z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25769FF8A6714E4580F53C62759BF381_12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