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39FC2">
      <w:pPr>
        <w:pStyle w:val="5"/>
        <w:spacing w:line="336" w:lineRule="auto"/>
        <w:ind w:firstLine="560" w:firstLineChars="200"/>
        <w:jc w:val="center"/>
        <w:rPr>
          <w:rFonts w:ascii="仿宋" w:hAnsi="仿宋" w:cs="MingLiU_HKSCS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技术响应与偏离表</w:t>
      </w:r>
    </w:p>
    <w:p w14:paraId="6ED92498">
      <w:pPr>
        <w:pStyle w:val="5"/>
        <w:spacing w:line="336" w:lineRule="auto"/>
        <w:ind w:firstLine="280" w:firstLineChars="100"/>
        <w:jc w:val="left"/>
        <w:rPr>
          <w:rFonts w:hint="eastAsia" w:ascii="仿宋" w:hAnsi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ascii="仿宋" w:hAnsi="仿宋"/>
          <w:sz w:val="28"/>
          <w:szCs w:val="28"/>
          <w:u w:val="single"/>
        </w:rPr>
        <w:tab/>
      </w:r>
      <w:r>
        <w:rPr>
          <w:rFonts w:ascii="仿宋" w:hAnsi="仿宋"/>
          <w:sz w:val="28"/>
          <w:szCs w:val="28"/>
          <w:u w:val="single"/>
        </w:rPr>
        <w:tab/>
      </w:r>
      <w:r>
        <w:rPr>
          <w:rFonts w:ascii="仿宋" w:hAnsi="仿宋"/>
          <w:sz w:val="28"/>
          <w:szCs w:val="28"/>
          <w:u w:val="single"/>
        </w:rPr>
        <w:tab/>
      </w:r>
      <w:r>
        <w:rPr>
          <w:rFonts w:ascii="仿宋" w:hAnsi="仿宋"/>
          <w:sz w:val="28"/>
          <w:szCs w:val="28"/>
          <w:u w:val="single"/>
        </w:rPr>
        <w:tab/>
      </w:r>
      <w:r>
        <w:rPr>
          <w:rFonts w:ascii="仿宋" w:hAnsi="仿宋"/>
          <w:sz w:val="28"/>
          <w:szCs w:val="28"/>
          <w:u w:val="single"/>
        </w:rPr>
        <w:tab/>
      </w:r>
      <w:r>
        <w:rPr>
          <w:rFonts w:ascii="仿宋" w:hAnsi="仿宋"/>
          <w:sz w:val="28"/>
          <w:szCs w:val="28"/>
          <w:u w:val="single"/>
        </w:rPr>
        <w:tab/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/>
          <w:sz w:val="28"/>
          <w:szCs w:val="28"/>
        </w:rPr>
        <w:tab/>
      </w:r>
      <w:r>
        <w:rPr>
          <w:rFonts w:hint="eastAsia" w:ascii="仿宋" w:hAnsi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/>
          <w:sz w:val="28"/>
          <w:szCs w:val="28"/>
        </w:rPr>
        <w:t>项目编号：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542"/>
        <w:gridCol w:w="1996"/>
        <w:gridCol w:w="1861"/>
        <w:gridCol w:w="1346"/>
        <w:gridCol w:w="936"/>
      </w:tblGrid>
      <w:tr w14:paraId="6899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4CDCA6A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序号</w:t>
            </w:r>
          </w:p>
        </w:tc>
        <w:tc>
          <w:tcPr>
            <w:tcW w:w="904" w:type="pct"/>
            <w:noWrap w:val="0"/>
            <w:vAlign w:val="center"/>
          </w:tcPr>
          <w:p w14:paraId="75B90178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货物名称</w:t>
            </w:r>
          </w:p>
        </w:tc>
        <w:tc>
          <w:tcPr>
            <w:tcW w:w="1170" w:type="pct"/>
            <w:noWrap w:val="0"/>
            <w:vAlign w:val="center"/>
          </w:tcPr>
          <w:p w14:paraId="6CE0E305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招标技术要求</w:t>
            </w:r>
          </w:p>
        </w:tc>
        <w:tc>
          <w:tcPr>
            <w:tcW w:w="1091" w:type="pct"/>
            <w:noWrap w:val="0"/>
            <w:vAlign w:val="center"/>
          </w:tcPr>
          <w:p w14:paraId="0C846093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投标响应情况</w:t>
            </w:r>
          </w:p>
        </w:tc>
        <w:tc>
          <w:tcPr>
            <w:tcW w:w="789" w:type="pct"/>
            <w:noWrap w:val="0"/>
            <w:vAlign w:val="center"/>
          </w:tcPr>
          <w:p w14:paraId="01F2CF76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偏离情况</w:t>
            </w:r>
          </w:p>
        </w:tc>
        <w:tc>
          <w:tcPr>
            <w:tcW w:w="549" w:type="pct"/>
            <w:noWrap w:val="0"/>
            <w:vAlign w:val="center"/>
          </w:tcPr>
          <w:p w14:paraId="01674B9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说明</w:t>
            </w:r>
          </w:p>
        </w:tc>
      </w:tr>
      <w:tr w14:paraId="1B3C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7036452D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1</w:t>
            </w:r>
          </w:p>
        </w:tc>
        <w:tc>
          <w:tcPr>
            <w:tcW w:w="904" w:type="pct"/>
            <w:noWrap w:val="0"/>
            <w:vAlign w:val="center"/>
          </w:tcPr>
          <w:p w14:paraId="60459060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6946EFD7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58816C1F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3D2C672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B94D34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4733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79FA4025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</w:t>
            </w:r>
          </w:p>
        </w:tc>
        <w:tc>
          <w:tcPr>
            <w:tcW w:w="904" w:type="pct"/>
            <w:noWrap w:val="0"/>
            <w:vAlign w:val="center"/>
          </w:tcPr>
          <w:p w14:paraId="7E5599EF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5D6B4A57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46C5CBC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1A0EFD29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86D50E2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E593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6058BB4A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</w:t>
            </w:r>
          </w:p>
        </w:tc>
        <w:tc>
          <w:tcPr>
            <w:tcW w:w="904" w:type="pct"/>
            <w:noWrap w:val="0"/>
            <w:vAlign w:val="center"/>
          </w:tcPr>
          <w:p w14:paraId="7FF849B0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16A9EA5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36DA6D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1C0B5DE1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7FC44F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4BC8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61B01977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4</w:t>
            </w:r>
          </w:p>
        </w:tc>
        <w:tc>
          <w:tcPr>
            <w:tcW w:w="904" w:type="pct"/>
            <w:noWrap w:val="0"/>
            <w:vAlign w:val="center"/>
          </w:tcPr>
          <w:p w14:paraId="4463586C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156A71E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17C13454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D89AD46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D7EB238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E0B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035EE098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…</w:t>
            </w:r>
          </w:p>
        </w:tc>
        <w:tc>
          <w:tcPr>
            <w:tcW w:w="904" w:type="pct"/>
            <w:noWrap w:val="0"/>
            <w:vAlign w:val="center"/>
          </w:tcPr>
          <w:p w14:paraId="62F5222F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26D6471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478A2D0B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799F32BD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FC02829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4A29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92" w:type="pct"/>
            <w:noWrap w:val="0"/>
            <w:vAlign w:val="center"/>
          </w:tcPr>
          <w:p w14:paraId="0F253BDB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N</w:t>
            </w:r>
          </w:p>
        </w:tc>
        <w:tc>
          <w:tcPr>
            <w:tcW w:w="904" w:type="pct"/>
            <w:noWrap w:val="0"/>
            <w:vAlign w:val="center"/>
          </w:tcPr>
          <w:p w14:paraId="2DF4103A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04B17BAA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0991D96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F5AD8C6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09D6BBE">
            <w:pPr>
              <w:pStyle w:val="5"/>
              <w:spacing w:line="240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 w14:paraId="22169D85">
      <w:pPr>
        <w:pStyle w:val="5"/>
        <w:spacing w:line="336" w:lineRule="auto"/>
        <w:ind w:firstLine="480" w:firstLineChars="200"/>
        <w:rPr>
          <w:rFonts w:hint="eastAsia" w:ascii="仿宋" w:hAnsi="仿宋"/>
          <w:sz w:val="24"/>
          <w:szCs w:val="24"/>
        </w:rPr>
      </w:pPr>
      <w:r>
        <w:rPr>
          <w:rFonts w:hint="eastAsia" w:ascii="仿宋" w:hAnsi="仿宋"/>
          <w:sz w:val="24"/>
          <w:szCs w:val="24"/>
        </w:rPr>
        <w:t>说明：</w:t>
      </w:r>
    </w:p>
    <w:p w14:paraId="2C5DC702">
      <w:pPr>
        <w:spacing w:line="360" w:lineRule="auto"/>
        <w:rPr>
          <w:rFonts w:hint="eastAsia" w:ascii="仿宋" w:hAnsi="仿宋" w:cs="仿宋"/>
          <w:sz w:val="24"/>
          <w:szCs w:val="24"/>
        </w:rPr>
      </w:pPr>
      <w:r>
        <w:rPr>
          <w:rFonts w:hint="eastAsia" w:ascii="仿宋" w:hAnsi="仿宋" w:cs="仿宋"/>
          <w:sz w:val="24"/>
          <w:szCs w:val="24"/>
          <w:lang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25B68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cs="仿宋"/>
          <w:sz w:val="24"/>
          <w:szCs w:val="24"/>
        </w:rPr>
      </w:pPr>
      <w:r>
        <w:rPr>
          <w:rFonts w:hint="eastAsia" w:ascii="仿宋" w:hAnsi="仿宋" w:cs="仿宋"/>
          <w:sz w:val="24"/>
          <w:szCs w:val="24"/>
          <w:lang w:eastAsia="zh-CN"/>
        </w:rPr>
        <w:t>2.</w:t>
      </w:r>
      <w:r>
        <w:rPr>
          <w:rFonts w:hint="eastAsia" w:ascii="仿宋" w:hAnsi="仿宋" w:cs="仿宋"/>
          <w:sz w:val="24"/>
          <w:szCs w:val="24"/>
        </w:rPr>
        <w:t>“投标响应情况”一栏必须详细填写投标产品的具体参数，</w:t>
      </w:r>
      <w:r>
        <w:rPr>
          <w:rFonts w:hint="eastAsia" w:ascii="仿宋" w:hAnsi="仿宋" w:cs="仿宋"/>
          <w:sz w:val="24"/>
          <w:szCs w:val="24"/>
          <w:lang w:eastAsia="zh-CN"/>
        </w:rPr>
        <w:t>并</w:t>
      </w:r>
      <w:r>
        <w:rPr>
          <w:rFonts w:hint="eastAsia" w:ascii="仿宋" w:hAnsi="仿宋" w:cs="仿宋"/>
          <w:sz w:val="24"/>
          <w:szCs w:val="24"/>
        </w:rPr>
        <w:t>对照招标技术要求</w:t>
      </w:r>
      <w:bookmarkStart w:id="0" w:name="_GoBack"/>
      <w:bookmarkEnd w:id="0"/>
      <w:r>
        <w:rPr>
          <w:rFonts w:hint="eastAsia" w:ascii="仿宋" w:hAnsi="仿宋" w:cs="仿宋"/>
          <w:sz w:val="24"/>
          <w:szCs w:val="24"/>
        </w:rPr>
        <w:t>对应响应；</w:t>
      </w:r>
    </w:p>
    <w:p w14:paraId="7438C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cs="仿宋"/>
          <w:sz w:val="24"/>
          <w:szCs w:val="24"/>
        </w:rPr>
      </w:pPr>
      <w:r>
        <w:rPr>
          <w:rFonts w:hint="eastAsia" w:ascii="仿宋" w:hAnsi="仿宋" w:cs="仿宋"/>
          <w:sz w:val="24"/>
          <w:szCs w:val="24"/>
          <w:lang w:eastAsia="zh-CN"/>
        </w:rPr>
        <w:t>3.</w:t>
      </w:r>
      <w:r>
        <w:rPr>
          <w:rFonts w:hint="eastAsia" w:ascii="仿宋" w:hAnsi="仿宋" w:cs="仿宋"/>
          <w:sz w:val="24"/>
          <w:szCs w:val="24"/>
        </w:rPr>
        <w:t>“偏离情况”一栏应如实填写“正偏离</w:t>
      </w:r>
      <w:r>
        <w:rPr>
          <w:rFonts w:hint="eastAsia" w:ascii="仿宋" w:hAnsi="仿宋" w:cs="仿宋"/>
          <w:sz w:val="24"/>
          <w:szCs w:val="24"/>
          <w:lang w:eastAsia="zh-CN"/>
        </w:rPr>
        <w:t>”“</w:t>
      </w:r>
      <w:r>
        <w:rPr>
          <w:rFonts w:hint="eastAsia" w:ascii="仿宋" w:hAnsi="仿宋" w:cs="仿宋"/>
          <w:sz w:val="24"/>
          <w:szCs w:val="24"/>
        </w:rPr>
        <w:t>负偏离”或“</w:t>
      </w:r>
      <w:r>
        <w:rPr>
          <w:rFonts w:hint="eastAsia" w:ascii="仿宋" w:hAnsi="仿宋" w:cs="仿宋"/>
          <w:sz w:val="24"/>
          <w:szCs w:val="24"/>
          <w:lang w:val="en-US" w:eastAsia="zh-CN"/>
        </w:rPr>
        <w:t>完全响应</w:t>
      </w:r>
      <w:r>
        <w:rPr>
          <w:rFonts w:hint="eastAsia" w:ascii="仿宋" w:hAnsi="仿宋" w:cs="仿宋"/>
          <w:sz w:val="24"/>
          <w:szCs w:val="24"/>
        </w:rPr>
        <w:t>”；</w:t>
      </w:r>
    </w:p>
    <w:p w14:paraId="4FCA5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cs="仿宋"/>
          <w:sz w:val="24"/>
          <w:szCs w:val="24"/>
        </w:rPr>
      </w:pPr>
      <w:r>
        <w:rPr>
          <w:rFonts w:hint="eastAsia" w:ascii="仿宋" w:hAnsi="仿宋" w:cs="仿宋"/>
          <w:sz w:val="24"/>
          <w:szCs w:val="24"/>
          <w:lang w:eastAsia="zh-CN"/>
        </w:rPr>
        <w:t>4.</w:t>
      </w:r>
      <w:r>
        <w:rPr>
          <w:rFonts w:hint="eastAsia" w:ascii="仿宋" w:hAnsi="仿宋" w:cs="仿宋"/>
          <w:sz w:val="24"/>
          <w:szCs w:val="24"/>
        </w:rPr>
        <w:t>投标人应完整响应招标技术要求，并逐条填写《技术响应与偏离表》，如有漏项或缺项，将被视为未实质性满足招标文件要求按无效投标处理。</w:t>
      </w:r>
    </w:p>
    <w:p w14:paraId="28BBB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cs="仿宋"/>
          <w:color w:val="FF0000"/>
          <w:sz w:val="24"/>
          <w:szCs w:val="24"/>
        </w:rPr>
      </w:pPr>
      <w:r>
        <w:rPr>
          <w:rFonts w:hint="eastAsia" w:ascii="仿宋" w:hAnsi="仿宋" w:cs="仿宋"/>
          <w:sz w:val="24"/>
          <w:szCs w:val="24"/>
          <w:lang w:eastAsia="zh-CN"/>
        </w:rPr>
        <w:t>5.</w:t>
      </w:r>
      <w:r>
        <w:rPr>
          <w:rFonts w:hint="eastAsia" w:ascii="仿宋" w:hAnsi="仿宋" w:cs="仿宋"/>
          <w:sz w:val="24"/>
          <w:szCs w:val="24"/>
        </w:rPr>
        <w:t>投标人所填写的“偏离情况”与评审委员会判定不一致时</w:t>
      </w:r>
      <w:r>
        <w:rPr>
          <w:rFonts w:hint="eastAsia" w:ascii="仿宋" w:hAnsi="仿宋" w:cs="仿宋"/>
          <w:b/>
          <w:sz w:val="24"/>
          <w:szCs w:val="24"/>
        </w:rPr>
        <w:t>，以评审委员会意见</w:t>
      </w:r>
      <w:r>
        <w:rPr>
          <w:rFonts w:hint="eastAsia" w:ascii="仿宋" w:hAnsi="仿宋" w:cs="仿宋"/>
          <w:b/>
          <w:sz w:val="24"/>
          <w:szCs w:val="24"/>
          <w:lang w:eastAsia="zh-CN"/>
        </w:rPr>
        <w:t>为准</w:t>
      </w:r>
      <w:r>
        <w:rPr>
          <w:rFonts w:hint="eastAsia" w:ascii="仿宋" w:hAnsi="仿宋" w:cs="仿宋"/>
          <w:b/>
          <w:sz w:val="24"/>
          <w:szCs w:val="24"/>
        </w:rPr>
        <w:t>。</w:t>
      </w:r>
    </w:p>
    <w:p w14:paraId="1B93A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36" w:lineRule="auto"/>
        <w:ind w:firstLine="640" w:firstLineChars="200"/>
        <w:textAlignment w:val="auto"/>
        <w:rPr>
          <w:rFonts w:hint="eastAsia" w:ascii="仿宋" w:hAnsi="仿宋" w:cs="Courier New"/>
          <w:szCs w:val="32"/>
        </w:rPr>
      </w:pPr>
    </w:p>
    <w:p w14:paraId="6EFD0FC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textAlignment w:val="auto"/>
        <w:rPr>
          <w:rFonts w:hint="eastAsia"/>
        </w:rPr>
      </w:pPr>
    </w:p>
    <w:p w14:paraId="6D99C23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cs="SSJ-PK74820000023-Identity-H"/>
          <w:kern w:val="0"/>
          <w:sz w:val="28"/>
          <w:szCs w:val="28"/>
        </w:rPr>
        <w:t>投标人</w:t>
      </w:r>
      <w:r>
        <w:rPr>
          <w:rFonts w:hint="eastAsia" w:ascii="仿宋" w:hAnsi="仿宋"/>
          <w:sz w:val="28"/>
          <w:szCs w:val="28"/>
        </w:rPr>
        <w:t>名称</w:t>
      </w:r>
      <w:r>
        <w:rPr>
          <w:rFonts w:hint="eastAsia" w:ascii="仿宋" w:hAnsi="仿宋"/>
          <w:sz w:val="28"/>
          <w:szCs w:val="28"/>
          <w:lang w:eastAsia="zh-CN"/>
        </w:rPr>
        <w:t>（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hint="eastAsia" w:ascii="仿宋" w:hAnsi="仿宋"/>
          <w:sz w:val="28"/>
          <w:szCs w:val="28"/>
          <w:lang w:eastAsia="zh-CN"/>
        </w:rPr>
        <w:t>）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      </w:t>
      </w:r>
    </w:p>
    <w:p w14:paraId="6E03BF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560" w:firstLineChars="200"/>
        <w:textAlignment w:val="auto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/>
          <w:sz w:val="28"/>
          <w:szCs w:val="28"/>
        </w:rPr>
        <w:t>日</w:t>
      </w:r>
    </w:p>
    <w:p w14:paraId="2B4DC7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SJ-PK74820000023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68B7DA0"/>
    <w:rsid w:val="429838CE"/>
    <w:rsid w:val="4AA15BE5"/>
    <w:rsid w:val="549F378E"/>
    <w:rsid w:val="5FB253AE"/>
    <w:rsid w:val="6F940B34"/>
    <w:rsid w:val="7613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5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242</Characters>
  <Lines>0</Lines>
  <Paragraphs>0</Paragraphs>
  <TotalTime>0</TotalTime>
  <ScaleCrop>false</ScaleCrop>
  <LinksUpToDate>false</LinksUpToDate>
  <CharactersWithSpaces>253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2024-03-20T04:33:00Z</dcterms:created>
  <dc:creator>admin</dc:creator>
  <cp:lastModifiedBy>李雨</cp:lastModifiedBy>
  <dcterms:modified xsi:type="dcterms:W3CDTF">2026-06-12T06:07:32Z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C5FA5A65218846AD95EFAE3B12904520_12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