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版本号：0617-2613FZ089120260519001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网络安全等级保护测评及数据安全风险评估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0617-2613FZ0891</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网络安全等级保护测评及数据安全风险评估</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0617-2613FZ0891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网络安全等级保护测评及数据安全风险评估</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公路局网络安全等级保护测评及数据安全风险评估项目。采购包1：网络安全等级保护测评：对陕西省公路局的2个三级系统、4个二级系统按照等保2.0标准开展等级测评服务，测评完毕出具测评报告（每系统1份），提出整改建议。采购包2：数据安全风险评估：对陕西省公路局的6个信息系统开展数据安全风险评估服务，评估完毕后出具《数据安全风险评估报告》（每系统1份），并提出整改建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采购包1（网络安全等级保护测评）：属于专门面向中小企业采购。</w:t>
      </w:r>
    </w:p>
    <w:p>
      <w:pPr>
        <w:pStyle w:val="null3"/>
      </w:pPr>
      <w:r>
        <w:rPr>
          <w:rFonts w:ascii="仿宋_GB2312" w:hAnsi="仿宋_GB2312" w:cs="仿宋_GB2312" w:eastAsia="仿宋_GB2312"/>
        </w:rPr>
        <w:t>采购包2（数据安全风险评估）：属于专门面向中小企业采购。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信息查询：在磋商截止时间，供应商不得存在列入失信被执行人（“中国执行信息公开网”http://zxgk.court.gov.cn/shixin/）的情形、不得存在列入信用中国（www.creditchina.gov.cn）重大税收违法失信主体和政府采购严重违法失信行为记录名单的情形，不得存在列入中国政府采购网（www.ccgp.gov.cn）政府采购严重违法失信行为记录名单的情形。</w:t>
      </w:r>
    </w:p>
    <w:p>
      <w:pPr>
        <w:pStyle w:val="null3"/>
      </w:pPr>
      <w:r>
        <w:rPr>
          <w:rFonts w:ascii="仿宋_GB2312" w:hAnsi="仿宋_GB2312" w:cs="仿宋_GB2312" w:eastAsia="仿宋_GB2312"/>
        </w:rPr>
        <w:t>2、特定资格：供应商应具备《网络安全等级测评与检测评估机构服务认证证书》。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信用信息查询：在磋商截止时间，供应商不得存在列入失信被执行人（“中国执行信息公开网”http://zxgk.court.gov.cn/shixin/）的情形、不得存在列入信用中国（www.creditchina.gov.cn）重大税收违法失信主体和政府采购严重违法失信行为记录名单的情形，不得存在列入中国政府采购网（www.ccgp.gov.cn）政府采购严重违法失信行为记录名单的情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赵晓锋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029-88408561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习郭莹、靖悦、侯润泽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029-85257747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采购包1：354,200.00元</w:t>
            </w:r>
          </w:p>
          <w:p>
            <w:pPr>
              <w:pStyle w:val="null3"/>
            </w:pPr>
            <w:r>
              <w:rPr>
                <w:rFonts w:ascii="仿宋_GB2312" w:hAnsi="仿宋_GB2312" w:cs="仿宋_GB2312" w:eastAsia="仿宋_GB2312"/>
              </w:rPr>
              <w:t>采购包2：354,200.00元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采购包1保证金金额：4,500.00元</w:t>
            </w:r>
          </w:p>
          <w:p>
            <w:pPr>
              <w:pStyle w:val="null3"/>
            </w:pPr>
            <w:r>
              <w:rPr>
                <w:rFonts w:ascii="仿宋_GB2312" w:hAnsi="仿宋_GB2312" w:cs="仿宋_GB2312" w:eastAsia="仿宋_GB2312"/>
              </w:rPr>
              <w:t>采购包2保证金金额：4,500.00元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开户名称：西北(陕西)国际招标有限公司</w:t>
            </w:r>
          </w:p>
          <w:p>
            <w:pPr>
              <w:pStyle w:val="null3"/>
            </w:pPr>
            <w:r>
              <w:rPr>
                <w:rFonts w:ascii="仿宋_GB2312" w:hAnsi="仿宋_GB2312" w:cs="仿宋_GB2312" w:eastAsia="仿宋_GB2312"/>
              </w:rPr>
              <w:t>开户银行：交通银行西安长安大学支行</w:t>
            </w:r>
          </w:p>
          <w:p>
            <w:pPr>
              <w:pStyle w:val="null3"/>
            </w:pPr>
            <w:r>
              <w:rPr>
                <w:rFonts w:ascii="仿宋_GB2312" w:hAnsi="仿宋_GB2312" w:cs="仿宋_GB2312" w:eastAsia="仿宋_GB2312"/>
              </w:rPr>
              <w:t>银行账号：611301151018010003843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说明：签订合同前，供应商向采购人交付合同金额5%的履约保证金。履约保证金待供应商履行完全部合同义务，并经采购人验收合格且无任何纠纷后无息退还。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说明：签订合同前，供应商向采购人交付合同金额5%的履约保证金。履约保证金待供应商履行完全部合同义务，并经采购人验收合格且无任何纠纷后无息退还。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代理服务费收费标准：中标(成交)服务费以中标（成交）价为基数，参照国家计委颁布的《招标代理服务收费管理暂行办法》(计价格 [2002]1980号)文件规定×0.8的标准。由中标(成交)人在领取成交通知书前一次性向代理机构全额支付。收费信息如下： 开户名称：西北(陕西)国际招标有限公司 开户银行：交通银行西安长安大学支行 银行账号：611301151018010003843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2.甲方收到乙方的验收申请后，组织乙方（必要时请有关专家）进行项目验收。乙方提交合同履约情况总结报告，并经甲方确认。验收合格后，填写项目验收单作为对项目的最终认可。3.验收依据：①本合同及附件文本；②竞争性磋商文件、磋商响应文件、澄清表（函）；③国家相应的标准、规范。4.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2.甲方收到乙方的验收申请后，组织乙方（必要时请有关专家）进行项目验收。乙方提交合同履约情况总结报告，并经甲方确认。验收合格后，填写项目验收单作为对项目的最终认可。3.验收依据：①本合同及附件文本；②竞争性磋商文件、磋商响应文件、澄清表（函）；③国家相应的标准、规范。4.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联系人：代理机构综合监督处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公路局网络安全等级保护测评及数据安全风险评估项目。采购包1：网络安全等级保护测评：对陕西省公路局的2个三级系统、4个二级系统按照等保2.0标准开展等级测评服务，测评完毕出具测评报告（每系统1份），提出整改建议。采购包2：数据安全风险评估：对陕西省公路局的6个信息系统开展数据安全风险评估服务，评估完毕后出具《数据安全风险评估报告》（每系统1份），并提出整改建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354,200.00</w:t>
      </w:r>
    </w:p>
    <w:p>
      <w:pPr>
        <w:pStyle w:val="null3"/>
      </w:pPr>
      <w:r>
        <w:rPr>
          <w:rFonts w:ascii="仿宋_GB2312" w:hAnsi="仿宋_GB2312" w:cs="仿宋_GB2312" w:eastAsia="仿宋_GB2312"/>
        </w:rPr>
        <w:t>采购包最高限价（元）: 354,200.00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网络安全等级保护测评</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354,200.00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354,200.00</w:t>
      </w:r>
    </w:p>
    <w:p>
      <w:pPr>
        <w:pStyle w:val="null3"/>
      </w:pPr>
      <w:r>
        <w:rPr>
          <w:rFonts w:ascii="仿宋_GB2312" w:hAnsi="仿宋_GB2312" w:cs="仿宋_GB2312" w:eastAsia="仿宋_GB2312"/>
        </w:rPr>
        <w:t>采购包最高限价（元）: 354,200.00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数据安全风险评估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354,200.00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w:t>
            </w:r>
            <w:r>
              <w:rPr>
                <w:rFonts w:ascii="仿宋_GB2312" w:hAnsi="仿宋_GB2312" w:cs="仿宋_GB2312" w:eastAsia="仿宋_GB2312"/>
              </w:rPr>
              <w:t>、</w:t>
            </w:r>
            <w:r>
              <w:rPr>
                <w:rFonts w:ascii="仿宋_GB2312" w:hAnsi="仿宋_GB2312" w:cs="仿宋_GB2312" w:eastAsia="仿宋_GB2312"/>
              </w:rPr>
              <w:t>服务内容</w:t>
            </w:r>
          </w:p>
          <w:p>
            <w:pPr>
              <w:pStyle w:val="null3"/>
              <w:jc w:val="left"/>
            </w:pPr>
            <w:r>
              <w:rPr>
                <w:rFonts w:ascii="仿宋_GB2312" w:hAnsi="仿宋_GB2312" w:cs="仿宋_GB2312" w:eastAsia="仿宋_GB2312"/>
              </w:rPr>
              <w:t>对陕西省公路局的</w:t>
            </w:r>
            <w:r>
              <w:rPr>
                <w:rFonts w:ascii="仿宋_GB2312" w:hAnsi="仿宋_GB2312" w:cs="仿宋_GB2312" w:eastAsia="仿宋_GB2312"/>
              </w:rPr>
              <w:t>2个三级系统、4个二级系统按照等保2.0标准开展等级测评服务，测评完毕出具测评报告（每个系统1份），提出整改建议。</w:t>
            </w:r>
          </w:p>
          <w:p>
            <w:pPr>
              <w:pStyle w:val="null3"/>
              <w:jc w:val="left"/>
            </w:pP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二、服务要求</w:t>
            </w:r>
          </w:p>
          <w:p>
            <w:pPr>
              <w:pStyle w:val="null3"/>
              <w:jc w:val="left"/>
            </w:pPr>
            <w:r>
              <w:rPr>
                <w:rFonts w:ascii="仿宋_GB2312" w:hAnsi="仿宋_GB2312" w:cs="仿宋_GB2312" w:eastAsia="仿宋_GB2312"/>
              </w:rPr>
              <w:t>（</w:t>
            </w:r>
            <w:r>
              <w:rPr>
                <w:rFonts w:ascii="仿宋_GB2312" w:hAnsi="仿宋_GB2312" w:cs="仿宋_GB2312" w:eastAsia="仿宋_GB2312"/>
              </w:rPr>
              <w:t>1）测评服务要求：依据《基本要求》（GB/T 22239-2019）、测评要求》（GB/T 28448-2019）和《测评过程指南》（GB/T 28449-2018）等国家关于网络安全等级保护2.0的相关标准和规范要求，为被测评单位提供相应级别信息系统等级保护测评实施工作，包括物理安全、网络安全、主机安全、应用安全、数据安全、安全管理机构、安全管理制度、人员管理安全、系统建设管理和系统运维管理等。</w:t>
            </w:r>
          </w:p>
          <w:p>
            <w:pPr>
              <w:pStyle w:val="null3"/>
              <w:jc w:val="left"/>
            </w:pPr>
            <w:r>
              <w:rPr>
                <w:rFonts w:ascii="仿宋_GB2312" w:hAnsi="仿宋_GB2312" w:cs="仿宋_GB2312" w:eastAsia="仿宋_GB2312"/>
              </w:rPr>
              <w:t>（</w:t>
            </w:r>
            <w:r>
              <w:rPr>
                <w:rFonts w:ascii="仿宋_GB2312" w:hAnsi="仿宋_GB2312" w:cs="仿宋_GB2312" w:eastAsia="仿宋_GB2312"/>
              </w:rPr>
              <w:t>2）渗透测试服务要求：通过模拟恶意黑客的攻击方法，来对计算机网络的安全性进行检测评估的过程。对系统和网络进行非破坏性质的攻击性测试，尝试侵入系统，获取系统控制权并将入侵的过程和细节产生报告给用户，由此证实用户系统所存在的安全威胁和风险，及时提示开发人员修复安全漏洞，提醒安全管理员完善安全策略，提升系统安全防护能力。通过这种方法，可以发现系统面临和暴露的安全问题，同时渗透测试也是对安全措施有效性的重要验证。</w:t>
            </w:r>
          </w:p>
          <w:p>
            <w:pPr>
              <w:pStyle w:val="null3"/>
              <w:jc w:val="left"/>
            </w:pPr>
            <w:r>
              <w:rPr>
                <w:rFonts w:ascii="仿宋_GB2312" w:hAnsi="仿宋_GB2312" w:cs="仿宋_GB2312" w:eastAsia="仿宋_GB2312"/>
              </w:rPr>
              <w:t>（</w:t>
            </w:r>
            <w:r>
              <w:rPr>
                <w:rFonts w:ascii="仿宋_GB2312" w:hAnsi="仿宋_GB2312" w:cs="仿宋_GB2312" w:eastAsia="仿宋_GB2312"/>
              </w:rPr>
              <w:t>3）安全需求分析及设计服务要求：为保障采购单位重要信息系统的安全防护能力，供应商需对其信息系统提供安全需求分析，并且能对采购单位的信息系统做安全方案设计，提出有针对性的安全规划方案。</w:t>
            </w:r>
          </w:p>
          <w:p>
            <w:pPr>
              <w:pStyle w:val="null3"/>
              <w:jc w:val="left"/>
            </w:pPr>
            <w:r>
              <w:rPr>
                <w:rFonts w:ascii="仿宋_GB2312" w:hAnsi="仿宋_GB2312" w:cs="仿宋_GB2312" w:eastAsia="仿宋_GB2312"/>
              </w:rPr>
              <w:t>（</w:t>
            </w:r>
            <w:r>
              <w:rPr>
                <w:rFonts w:ascii="仿宋_GB2312" w:hAnsi="仿宋_GB2312" w:cs="仿宋_GB2312" w:eastAsia="仿宋_GB2312"/>
              </w:rPr>
              <w:t>4）培训要求：供应商在项目实施结束后，要为采购单位提供信息安全相关培训。</w:t>
            </w:r>
          </w:p>
          <w:p>
            <w:pPr>
              <w:pStyle w:val="null3"/>
              <w:jc w:val="left"/>
            </w:pPr>
            <w:r>
              <w:rPr>
                <w:rFonts w:ascii="仿宋_GB2312" w:hAnsi="仿宋_GB2312" w:cs="仿宋_GB2312" w:eastAsia="仿宋_GB2312"/>
              </w:rPr>
              <w:t>（</w:t>
            </w:r>
            <w:r>
              <w:rPr>
                <w:rFonts w:ascii="仿宋_GB2312" w:hAnsi="仿宋_GB2312" w:cs="仿宋_GB2312" w:eastAsia="仿宋_GB2312"/>
              </w:rPr>
              <w:t>5）应急响应及应急处理要求：供应商在测评项目结束后，要提供至少自合同签订之日起一年的信息安全应急处理保障，一旦采购单位出现任何安全事件，供应商必须提供完善高效的应急保障支撑，快速安排人员到场处理，本要求要在响应文件做出响应说明，详细说明响应的时间等。</w:t>
            </w:r>
          </w:p>
          <w:p>
            <w:pPr>
              <w:pStyle w:val="null3"/>
              <w:jc w:val="left"/>
            </w:pPr>
            <w:r>
              <w:rPr>
                <w:rFonts w:ascii="仿宋_GB2312" w:hAnsi="仿宋_GB2312" w:cs="仿宋_GB2312" w:eastAsia="仿宋_GB2312"/>
              </w:rPr>
              <w:t>（</w:t>
            </w:r>
            <w:r>
              <w:rPr>
                <w:rFonts w:ascii="仿宋_GB2312" w:hAnsi="仿宋_GB2312" w:cs="仿宋_GB2312" w:eastAsia="仿宋_GB2312"/>
              </w:rPr>
              <w:t>6）安全咨询服务：供应商在测评项目结束后，要提供至少自合同签订之日起一年的安全咨询服务，包括但不限于安全技术咨询、安全整改建设咨询、管理制度及国家法规等，供应商需提供咨询建议和方案建议。</w:t>
            </w:r>
          </w:p>
          <w:p>
            <w:pPr>
              <w:pStyle w:val="null3"/>
              <w:jc w:val="left"/>
            </w:pPr>
            <w:r>
              <w:rPr>
                <w:rFonts w:ascii="仿宋_GB2312" w:hAnsi="仿宋_GB2312" w:cs="仿宋_GB2312" w:eastAsia="仿宋_GB2312"/>
              </w:rPr>
              <w:t>（</w:t>
            </w:r>
            <w:r>
              <w:rPr>
                <w:rFonts w:ascii="仿宋_GB2312" w:hAnsi="仿宋_GB2312" w:cs="仿宋_GB2312" w:eastAsia="仿宋_GB2312"/>
              </w:rPr>
              <w:t>7）保密要求：供应商对工作中了解到的陕西省公路局的技术和数据等信息进行严格保密，不得向他人泄漏。服务期结束之日起30个工作日内，供应商应删除本项目服务过程中产生的全部信息和数据。</w:t>
            </w:r>
          </w:p>
          <w:p>
            <w:pPr>
              <w:pStyle w:val="null3"/>
              <w:jc w:val="left"/>
            </w:pPr>
            <w:r>
              <w:rPr>
                <w:rFonts w:ascii="仿宋_GB2312" w:hAnsi="仿宋_GB2312" w:cs="仿宋_GB2312" w:eastAsia="仿宋_GB2312"/>
              </w:rPr>
              <w:t>3.服务总体要求：</w:t>
            </w:r>
          </w:p>
          <w:p>
            <w:pPr>
              <w:pStyle w:val="null3"/>
              <w:jc w:val="left"/>
            </w:pPr>
            <w:r>
              <w:rPr>
                <w:rFonts w:ascii="仿宋_GB2312" w:hAnsi="仿宋_GB2312" w:cs="仿宋_GB2312" w:eastAsia="仿宋_GB2312"/>
              </w:rPr>
              <w:t>信息安全等级保护测评工作的流程如下图所示，在开展信息安全等级保护测评工作过程中要求严格遵循如下流程：</w:t>
            </w:r>
          </w:p>
          <w:p>
            <w:pPr>
              <w:pStyle w:val="null3"/>
              <w:jc w:val="left"/>
            </w:pPr>
            <w:r>
              <w:drawing>
                <wp:inline distT="0" distR="0" distB="0" distL="0">
                  <wp:extent cx="1621155" cy="238011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2380112"/>
                          </a:xfrm>
                          <a:prstGeom prst="rect">
                            <a:avLst/>
                          </a:prstGeom>
                        </pic:spPr>
                      </pic:pic>
                    </a:graphicData>
                  </a:graphic>
                </wp:inline>
              </w:drawing>
            </w:r>
          </w:p>
          <w:p>
            <w:pPr>
              <w:pStyle w:val="null3"/>
              <w:jc w:val="left"/>
            </w:pPr>
            <w:r>
              <w:rPr>
                <w:rFonts w:ascii="仿宋_GB2312" w:hAnsi="仿宋_GB2312" w:cs="仿宋_GB2312" w:eastAsia="仿宋_GB2312"/>
              </w:rPr>
              <w:t>（</w:t>
            </w:r>
            <w:r>
              <w:rPr>
                <w:rFonts w:ascii="仿宋_GB2312" w:hAnsi="仿宋_GB2312" w:cs="仿宋_GB2312" w:eastAsia="仿宋_GB2312"/>
              </w:rPr>
              <w:t>1）测评准备活动</w:t>
            </w:r>
          </w:p>
          <w:p>
            <w:pPr>
              <w:pStyle w:val="null3"/>
              <w:jc w:val="left"/>
            </w:pPr>
            <w:r>
              <w:rPr>
                <w:rFonts w:ascii="仿宋_GB2312" w:hAnsi="仿宋_GB2312" w:cs="仿宋_GB2312" w:eastAsia="仿宋_GB2312"/>
              </w:rPr>
              <w:t>本活动是开展等级测评工作的前提和基础，是整个等级测评过程有效性的保证。测评准备工作是否充分直接关系到后续工作能否顺利开展。本活动的主要任务是掌握被测评系统的详细情况，准备测评工具，为编制测评方案做好准备。</w:t>
            </w:r>
          </w:p>
          <w:p>
            <w:pPr>
              <w:pStyle w:val="null3"/>
              <w:jc w:val="left"/>
            </w:pPr>
            <w:r>
              <w:rPr>
                <w:rFonts w:ascii="仿宋_GB2312" w:hAnsi="仿宋_GB2312" w:cs="仿宋_GB2312" w:eastAsia="仿宋_GB2312"/>
              </w:rPr>
              <w:t>（</w:t>
            </w:r>
            <w:r>
              <w:rPr>
                <w:rFonts w:ascii="仿宋_GB2312" w:hAnsi="仿宋_GB2312" w:cs="仿宋_GB2312" w:eastAsia="仿宋_GB2312"/>
              </w:rPr>
              <w:t>2）方案编制活动</w:t>
            </w:r>
          </w:p>
          <w:p>
            <w:pPr>
              <w:pStyle w:val="null3"/>
              <w:jc w:val="left"/>
            </w:pPr>
            <w:r>
              <w:rPr>
                <w:rFonts w:ascii="仿宋_GB2312" w:hAnsi="仿宋_GB2312" w:cs="仿宋_GB2312" w:eastAsia="仿宋_GB2312"/>
              </w:rPr>
              <w:t>本活动是开展等级测评工作的关键活动，为现场测评提供最基本的文档和指导方案。本活动的主要任务是确定与被测评信息系统相适应的测评对象、测评指标及测评内容等，并根据需要开发测评指导书，形成测评方案。</w:t>
            </w:r>
          </w:p>
          <w:p>
            <w:pPr>
              <w:pStyle w:val="null3"/>
              <w:jc w:val="left"/>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现场测评活动</w:t>
            </w:r>
          </w:p>
          <w:p>
            <w:pPr>
              <w:pStyle w:val="null3"/>
              <w:jc w:val="left"/>
            </w:pPr>
            <w:r>
              <w:rPr>
                <w:rFonts w:ascii="仿宋_GB2312" w:hAnsi="仿宋_GB2312" w:cs="仿宋_GB2312" w:eastAsia="仿宋_GB2312"/>
              </w:rPr>
              <w:t>本活动是开展等级测评工作的核心活动。本活动的主要任务是按照测评方案的总体要求，严格执行测评指导书，分步实施所有测评项目，包括单位测评和整体测评两个方面，以了解系统的真实保护情况，获取足够证据，发现系统存在的安全问题。</w:t>
            </w:r>
          </w:p>
          <w:p>
            <w:pPr>
              <w:pStyle w:val="null3"/>
              <w:jc w:val="left"/>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）分析与报告编制活动</w:t>
            </w:r>
          </w:p>
          <w:p>
            <w:pPr>
              <w:pStyle w:val="null3"/>
              <w:jc w:val="left"/>
            </w:pPr>
            <w:r>
              <w:rPr>
                <w:rFonts w:ascii="仿宋_GB2312" w:hAnsi="仿宋_GB2312" w:cs="仿宋_GB2312" w:eastAsia="仿宋_GB2312"/>
              </w:rPr>
              <w:t>本活动是给出等级测评工作结果的活动，是总结被测系统整体安全保护能力的综合评价活动。本活动的主要任务是根据现场测评结果和行标的有关要求，通过单项测评结果判定、单元测评结果判定、整体测评和风险分析等方法，找出整个系统的安全保护现状与相应等级的保护要求之间的差距，并分析这些差距导致被测评系统面临的风险，提出整改意见并配合被测评单位完成整改，从而给出等级测评结论，形成测评报告文本。</w:t>
            </w:r>
          </w:p>
          <w:p>
            <w:pPr>
              <w:pStyle w:val="null3"/>
              <w:jc w:val="left"/>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测评指标：</w:t>
            </w:r>
          </w:p>
          <w:p>
            <w:pPr>
              <w:pStyle w:val="null3"/>
              <w:jc w:val="left"/>
            </w:pPr>
            <w:r>
              <w:rPr>
                <w:rFonts w:ascii="仿宋_GB2312" w:hAnsi="仿宋_GB2312" w:cs="仿宋_GB2312" w:eastAsia="仿宋_GB2312"/>
              </w:rPr>
              <w:t>三级要求指标：</w:t>
            </w:r>
          </w:p>
          <w:tbl>
            <w:tblPr>
              <w:tblBorders>
                <w:top w:val="none" w:color="000000" w:sz="4"/>
                <w:left w:val="none" w:color="000000" w:sz="4"/>
                <w:bottom w:val="none" w:color="000000" w:sz="4"/>
                <w:right w:val="none" w:color="000000" w:sz="4"/>
                <w:insideH w:val="none"/>
                <w:insideV w:val="none"/>
              </w:tblBorders>
            </w:tblPr>
            <w:tblGrid>
              <w:gridCol w:w="315"/>
              <w:gridCol w:w="482"/>
              <w:gridCol w:w="1756"/>
            </w:tblGrid>
            <w:tr>
              <w:tc>
                <w:tcPr>
                  <w:tcW w:type="dxa" w:w="31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w:t>
                  </w:r>
                </w:p>
                <w:p>
                  <w:pPr>
                    <w:pStyle w:val="null3"/>
                    <w:jc w:val="center"/>
                  </w:pPr>
                  <w:r>
                    <w:rPr>
                      <w:rFonts w:ascii="仿宋_GB2312" w:hAnsi="仿宋_GB2312" w:cs="仿宋_GB2312" w:eastAsia="仿宋_GB2312"/>
                      <w:sz w:val="20"/>
                    </w:rPr>
                    <w:t>层面</w:t>
                  </w:r>
                </w:p>
              </w:tc>
              <w:tc>
                <w:tcPr>
                  <w:tcW w:type="dxa" w:w="48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安全控制点</w:t>
                  </w:r>
                </w:p>
              </w:tc>
              <w:tc>
                <w:tcPr>
                  <w:tcW w:type="dxa" w:w="175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测评指标（</w:t>
                  </w:r>
                  <w:r>
                    <w:rPr>
                      <w:rFonts w:ascii="仿宋_GB2312" w:hAnsi="仿宋_GB2312" w:cs="仿宋_GB2312" w:eastAsia="仿宋_GB2312"/>
                      <w:sz w:val="20"/>
                    </w:rPr>
                    <w:t>2.0）</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安全物理环境</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物理位置选择</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a)机房和办公场地应选择在具有防震、防风和防雨等能力的建筑内；</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b)机房场地应避免设在建筑物的高层或地下室，否则应加强防水和防潮措施。</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物理访问控制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a)机房出入口应配置电子门禁系统，控制、鉴别和记录进入的人员。</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防盗窃和防</w:t>
                  </w:r>
                </w:p>
                <w:p>
                  <w:pPr>
                    <w:pStyle w:val="null3"/>
                    <w:jc w:val="center"/>
                  </w:pPr>
                  <w:r>
                    <w:rPr>
                      <w:rFonts w:ascii="仿宋_GB2312" w:hAnsi="仿宋_GB2312" w:cs="仿宋_GB2312" w:eastAsia="仿宋_GB2312"/>
                      <w:sz w:val="20"/>
                    </w:rPr>
                    <w:t>破坏</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a)应将设备或主要部件进行固定，并设置明显的不易除去的标识；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b)应将通信线缆铺设在隐蔽安全处；</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c)应设置机房防盗报警系统或设置有专人值守的视频jian kong xi tong。</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防雷击</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a)应将各类机柜、设施和设备等通过接地系统安全接地；</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b)应采取措施防止感应雷，例如设置防雷保安器或过压保护装置等。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a)机房应设置火灾自动消防系统，能够自动检测火情、自动报警，并自动灭火；</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b)机房及相关的工作房间和辅助房应采用具有耐火等级的建筑材料；</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c)应对机房划分区域进行管理，区域和区域之间设置隔离防火措施。</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防水防潮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a)应采取措施防止雨水通过机房窗户、屋顶和墙壁渗透；</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b)应采取措施防止机房内水蒸气结露和地下积水的转移与渗透；</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c)应安装对水敏感的检测仪表或元件，对机房进行防水检测和报警。</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防静电</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a)应采用防静电地板或地面并采用必要的接地防静电措施；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b)应采取措施防止静电的产生，例如采用静电消除器、佩戴防静电手环等。</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温湿度控制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a)应设置温湿度自动调节设施，使机房温湿度的变化在设备运行所允许的范围之内。</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电力供应</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a)应在机房供电线路上配置稳压器和过电压防护设备；</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b)应提供短期的备用电力供应，至少满足设备在断电情况下的正常运行要求；</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c)应设置冗余或并行的电力电缆线路为计算机系统供电。</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电磁防护</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a)电源线和通信线缆应隔离铺设，避免互相干扰；</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b)应对关键设备实施电磁屏蔽。</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安全通信网络</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网络架构</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a)应保证网络设备的业务处理能力满足业务高峰期需要；</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b)应保证网络各个部分的带宽满足业务高峰期需要；</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c)应划分不同的网络区域，并按照方便管理和控制的原则为各网络区域分配地址；</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d)应避免将重要网络区域部署在边界处，重要网络区域与其他网络区域之间应采取可靠的技术隔离手段；</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e)应提供通信线路、关键网络设备和关键计算设备的硬件冗余，保证系统的可用性。</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通信传输</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a)应采用校验技术或密码技术保证通信过程中数据的完整性；</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b)应采用密码技术保证通信过程中数据的保密性。</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可信验证</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可基于可信根对通信设备的系统引导程序、系统程序、重要配置参数和通信应用程序等进行可信验证，并在应用程序的关键执行环节进行动态可信验证，在监测到其可信性受到破坏后进行报警，并将验证结果形成审计记录送至安全管理中心。</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安全区域边界</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边界防护</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a)应保证跨越边界的访问和数据流通过边界设备提供的受控接口进行通信；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b)应能够对非授权设备私自联到内部网络的行为进行检测或限制；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c)应能够对内部用户非授权联到外部网络的行为进行检查或限制；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d)应限制无线网络的使用，保证无线网络通过受控的边界设备接入内部网络。</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访问控制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a)应在网络边界或区域之间根据访问控制策略设置访问控制规则，默认情况下除允许通信外受控接口拒绝所有通信；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b)应删除多余或无效的控制规则，优化访问控制列表，并保证访问控制规则数量最小化；</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c)应对源地址、目的地址、源端口、目的端口和协议等进行检查，以允许/拒绝数据包进出；</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d)应能根据会话状态信息为进出数据流提供明确的允许/拒绝访问的能力；</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e)应对进出网络的数据流实现基于应用协议和应用内容的访问控制。</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入侵防范</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a)应在关键网络节点处检测、防止或限制从外部发起的网络攻击行为；</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b)应在关键网络节点处检测、防止或限制从内部发起的网络攻击行为；</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c)应采取技术措施对网络行为进行分析，实现对网络攻击特别是新型网络攻击行为的分析；</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d)当检测到攻击行为时，记录攻击源IP、攻击类型、攻击目的、攻击时间，在发生严重入侵事件时应提供报警。</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恶意代码和垃圾邮件防范</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a)应在关键网络节点处对恶意代码进行检测和清除，并维护恶意代码防护机制的升级和更新；</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b)应在关键网络节点处对垃圾邮件进行检测和防护，并维护垃圾邮件防护机制的升级和更新。</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安全审计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a)应在网络边界，重要网络节点进行安全审计，审计覆盖到每个用户，对重要的用户行为和重要安全事件进行审计；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b)审计记录应包括事件的日期、用户、事件类型、事件是否成功及其他与审计相关的信息；</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c)应对审计记录进行保护，定期备份，避免受到未预期的删除、修改或覆盖等；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d)应能对远程访问的用户行为、访问互联网的用户行为等单独进行行为审计和数据分析。</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可信验证</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可基于可信根对边界设备的系统引导程序、系统程序、重要配置参数和边界防护应用程序等进行可信验证，并在应用程序的关键执行环节进行动态可信验证，在检测到其可信性受到破坏后进行报警，并将验证结果形成审计记录送至安全管理中心。</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安全计算环境</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身份鉴别</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a)应对登录的用户进行身份标识和鉴别，身份标识具有唯一性，身份鉴别信息具有复杂度要求并定期更换；</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b)应启用登陆失败处理功能，应配置并启用结束会话、限制非法登录次数和当登录连接超时时自动退出等相关措施；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c)当进行远程管理时，应采取必要措施防止鉴别信息在网络传输过程中被窃听；</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d)应采用口令、密码技术、生物技术等两种或两种以上组合的鉴别技术对用户进行身份鉴别，且其中一种鉴别技术至少应使用密码技术实现。</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访问控制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a)应对登录的用户分配账户和权限；</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b)应重命名或删除默认账户，修改默认账户的默认口令；</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c)应及时删除或停用多余的，过期的账户，避免共享账户的存在；</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d)应授予管理用户所需的最小权限，实现管理用户的权限分离；</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e）应由授权主体配置访问控制策略，访问控制策略规定主体对客体的访问规则；</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f)访问控制的粒度应达到主体为用户级或进程级，客体为文件、数据库表级；</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g)应对重要主体和客体设置安全标记，并控制主体对有安全标记信息资源的访问。</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安全审计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a)应启用安全审计功能，审计覆盖到每个用户，对重要的用户行为和重要安全事件进行审计；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b)审计记录应包括事件的日期、时间、事件类型、事件是否成功及其他与审计相关的工作；</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c)应对审计记录进行保护，定期备份、避免受到未预期的删除、修改或覆盖等；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d)应对审计进程进行保护，防止未经授权的中断。</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入侵防范</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a)应遵循最小安装的原则，仅安装需要的组件和应用程序；</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b)应关闭不需要的系统服务、默认共享和高危端口；</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c)应通过设定终端接入方式或网络地址范围对通过网络进行管理的管理终端进行限制；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d）应提供数据有效性检验功能，保证通过人机接口输入或通过通信接口输入的内容符合系统设定要求。</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e)应能发现可能存在的已知漏洞，并在经过充分测试评估后，及时修补漏洞；</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f)应能检测到对重要节点进行入侵的行为，并在发生严重入侵事件时提供报警。</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恶意代码防范</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a)应采用免受恶意代码攻击的技术措施，或主动免疫可信验证机制及时识别入侵和病毒行为，并将其有效阻断。</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可信验证</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可基于可信根对计算设备的系统引导程序、系统程序、重要配置参数和通信应用程序等进行可信验证，并在应用程序的关键执行环节进行动态可信验证，在检测到其可信性受到破坏后进行报警，并将验证结果形成审计记录送至安全管理中心。</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数据完整性</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a)应采用校验技术或密码技术保证重要数据在传输过程中的完整性，包括但不限于数据鉴别、重要业务数据、重要审计数据、重要配置数据、重要视频数据和重要个人信息等；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b)应采用校验技术或密码技术保证重要数据在存储过程中的完整性，包括但不限于数据鉴别、重要业务数据、重要审计数据、重要配置数据、重要视频数据和重要个人信息等。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数据保密性</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a)应采用密码技术保证重要数据在传输过程中的保密性，包括但不限于数据鉴别、重要业务数据和重要个人信息等；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b)应采用密码技术保证重要数据在存储过程中的保密性，包括但不限于数据鉴别、重要业务数据和重要个人信息等。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数据备份和</w:t>
                  </w:r>
                </w:p>
                <w:p>
                  <w:pPr>
                    <w:pStyle w:val="null3"/>
                    <w:jc w:val="center"/>
                  </w:pPr>
                  <w:r>
                    <w:rPr>
                      <w:rFonts w:ascii="仿宋_GB2312" w:hAnsi="仿宋_GB2312" w:cs="仿宋_GB2312" w:eastAsia="仿宋_GB2312"/>
                      <w:sz w:val="20"/>
                    </w:rPr>
                    <w:t>恢复</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a)应提供重要数据的本地数据备份与恢复功能；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b)应提供异地实时备份功能，利用通信网络将重要数据实时备份至备用场地；</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c)应提供重要数据处理系统的热冗余，保证系统的高可用性。</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剩余信息保护</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a)应保证鉴别信息所在的存储空间被释放或重新分配前得到完全清除；</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b)应保证存有敏感数据的存储空间被释放或重新分配前得到完全清除。</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个人信息保护</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a)应仅采集和保存业务必需的用户个人信息；</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b)应禁止未授权访问和非法使用用户个人信息。</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安全管理中心</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a)应对系统管理员进行身份鉴别，只允许其通过特定的命令或操作界面进行系统管理操作，并对这些操作进行审计；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b）应通过系统管理员对系统的资源和运行进行配置、控制和管理，包括用户身份，系统资源配置、系统加载和启动、系统运行的异常处理、数据和设备的备份与恢复等。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审计管理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a)应对审计管理员进行身份鉴别，只允许其通过特定的命令或操作界面进行安全审计操作，并对这些操作进行审计；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b)应通过审计管理员对审计记录进行分析，并根据分析结果进行处理，包括根据安全审计策略对审计记录进行存储、管理和查询。</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a)应对安全管理员进行身份鉴别，只允许通过特定的命令或操作界面进行安全管理操作，并对这些操作进行审计；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b)应通过安全管理员对系统中的安全策略进行配置，包括安全参数的设置，主体，客体进行统一安全标识，对主体进行授权，配置安全可信验证策略等。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集中管控</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a)应划分特定的管理区域，对分布在网络中的安全设备或安全组件进行管控；</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b)应能够建立一条安全的信息传输路径，对网络中的安全设备或安全组件进行管理；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c）应对网络链路、安全设备、网络设备和服务器等的运行状况进行集中监测；</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d)应对分散在各个设备上的审计数据进行收集汇总和集中分析，并保证审计记录的留存时间符合法律法规要求；</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e）应对安全策略、安全代码、补丁升级等安全事项进行集中管理；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f）应能对网络中发生的各类安全事件进行识别报警和分析。</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安全管理制度</w:t>
                  </w: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安全策略</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a）应制定网络安全工作的总体方针和安全策略，阐明机构安全工作的总体目标、范围、原则和安全框架等。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管理制度</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a）应对安全管理活动中的各类管理内容建立安全管理制度;</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b）应对要求管理人员或操作人员执行的日常管理操作建立操作规程;</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c）应形成由安全策略，管理制度，操作规程，记录表单等构成安全管理制度体系。</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制定和发布</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a）应指定或授权专门的部门或人员负责安全管理制度的制定;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d）安全管理制度应通过正式、有效的方式发布，并进行版本控制.</w:t>
                  </w:r>
                </w:p>
              </w:tc>
            </w:tr>
            <w:tr>
              <w:tc>
                <w:tcPr>
                  <w:tcW w:type="dxa" w:w="315"/>
                  <w:vMerge/>
                  <w:tcBorders>
                    <w:top w:val="none" w:color="000000" w:sz="4"/>
                    <w:left w:val="single" w:color="000000" w:sz="4"/>
                    <w:bottom w:val="single" w:color="000000" w:sz="4"/>
                    <w:right w:val="single" w:color="000000" w:sz="4"/>
                  </w:tcBorders>
                </w:tcPr>
                <w:p/>
              </w:tc>
              <w:tc>
                <w:tcPr>
                  <w:tcW w:type="dxa" w:w="4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评审和修订</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a）应定期对安全管理制度的合理性和适用性进行论证和审定，对存在不足或需要改进的安全管理制度进行修订。</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安全管理机构</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岗位设置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a）应成立指导和管理网络安全工作的委员会或领导小组，其最高领导由单位主管领导担任或授权 ；</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b）应设立网络安全管理工作的职能部门，设立安全主管、安全管理各个方面的负责人岗位，并定义各负责人的职责；</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c）应设立系统管理员、审计管理员、安全管理员等岗位，并定义部门及各个工作岗位的职责。</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人员配备</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a）应配备一定数量的系统管理员、审计管理员、安全管理员等；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b）应配备专职的安全管理员，不可兼任。</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授权和审批</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a）应根据各个部门和岗位的职责明确授权审批事项、审批部门和批准人等；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b）应针对系统变更、重要操作、物理访问和系统接入等事项建立审批程序，按照审批程序执行审批过程，对重要活动建立逐级审批制度；</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c）应定期审查审批事项，及时更新授权和审批的项目、审批部门和审批人等信息。</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沟通和合作</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a）应加强各类管理人员、组织内部机构和网络安全管理部门之间的合作与沟通，定期召开协调会议，共同协作处理网络安全问题。；</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b）应加强与网络安全职能部门、各类供应商、业界专家及安全组织的合作与沟通；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c）应建立外联单位联系列表，包括外联单位名称、合作内容、联系人和联系方式等信息。</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审核和检查</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a）应定期进行常规安全检查，检查内容包括系统日常运行、系统漏洞和数据备份等情况；</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b）应定期进行全面安全检查，检查内容包括现有安全技术措施的有效性、安全配置和安全策略的一致性，安全管理制度的执行情况等；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c）应制定安全检查表格实施安全检查，汇总安全检查数据，形成安全检查报告，并对安全检查结果进行通报。</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安全管理人员</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人员录用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a）应指定或授权专门的部门或人员负责人员录用;</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b）应对被录用人的身份、安全背景、专业资格或资质等进行审查，对其所有的技术技能进行考核；</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c）应与被录用人员签署保密协议，与关键岗位人员签署岗位责任协议。</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人员离岗</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a）应及时终止离岗人员的所有访问权限，取回各种身份证件、钥匙、徽章等以及机构提供的软硬件设备；</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b）应办理严格的调离手续，并承诺调离后的保密义务方可离开。</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安全意识教育和培训</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a）应对各类人员进行安全意识教育和岗位技能培训，并告知相关的安全责任和惩戒措施；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b）应针对不同岗位制定不同的培训计划，对安全基础知识，岗位操作规程等进行培训；</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c）应定期对不同岗位的人员进行技能考核。</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外部人员访问</w:t>
                  </w:r>
                  <w:r>
                    <w:br/>
                  </w:r>
                  <w:r>
                    <w:rPr>
                      <w:rFonts w:ascii="仿宋_GB2312" w:hAnsi="仿宋_GB2312" w:cs="仿宋_GB2312" w:eastAsia="仿宋_GB2312"/>
                      <w:sz w:val="20"/>
                    </w:rPr>
                    <w:t>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a）应在外部人员物理访问受控区域前先提出书面申请，批准后由专人全程陪同，并登记备案；</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b）应在外部人员接入受控网络访问系统前先提出书面申请，批准后由专人开设账户，分配权限，并登记备案；</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 外部人员离场后应及时清除其所有的访问权限；</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d）获得系统访问授权的外部人员签署保密协议，不得进行非授权操作，不得复制和泄露敏感信息。</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安全建设管理</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定级和备案</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a）应以书面的形式说明保护对象的安全保护等级及确定安全保护等级的方法和理由；</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b）应组织相关部门和有关安全技术专家对定级结果的合理性和正确性进行论证和审定；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c）应保证定级结果经过相关部门的批准；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d)应将备案材料报主管部门和相应公安机关备案</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安全方案设计</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a）应根据安全保护等级选择基本安全措施，依据风险分析的结果补充和调整安全措施；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b）应根据保护对象的安全保护等级及与其他级别对象的关系进行安全整体规划和安全方案设计，设计内容应包含密码技术相关内容、并形成配套文件；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c）应组织相关部门和有关安全技术专家对整体安全规划及其配套文件的合理性和正确性进行论证和审定，经过批准后才能正式实施。</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产品采购和</w:t>
                  </w:r>
                </w:p>
                <w:p>
                  <w:pPr>
                    <w:pStyle w:val="null3"/>
                    <w:jc w:val="center"/>
                  </w:pPr>
                  <w:r>
                    <w:rPr>
                      <w:rFonts w:ascii="仿宋_GB2312" w:hAnsi="仿宋_GB2312" w:cs="仿宋_GB2312" w:eastAsia="仿宋_GB2312"/>
                      <w:sz w:val="20"/>
                    </w:rPr>
                    <w:t>使用</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a）应确保网络安全产品采购和使用符合国家的有关规定；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b）应确保密码产品与服务的采购和使用符合国家密码管理主管部门的要求；</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c)应预先对产品进行选型测试，确定产品的候选范围，并定期审定和更新产品候选名单。</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自行软件开发</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a）应将开发环境与实际运行环境物理分开，测试数据和测试结果受到控制；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b）应制定软件开发管理制度，明确说明开发过程的控制方法和人员行为准则；</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c）应制定代码编写安全规范，要求开发人员参照规范编写代码；</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d）应具备软件设计的相关文档和使用指南，并对文档使用进行控制；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e）应保证在软件开发过程中对安全性进行测试，在软件安装前对可能存在的恶意代码进行检测；</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f）应对程序资源库的修改、更新，发布进行授权和批准，并严格进行版本控制；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g）应保证开发人员为专职人员，开发人员的开发活动受到控制，监视和审查。</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外包软件开发</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a）应在软件交付前检测其中可能存在的恶意代码；</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b）应保证开发单位提供软件设计文档和使用指南；</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c）应保证开发单位提供软件源代码，并审查软件中可能存在的后面和隐蔽信道。</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工程实施</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a）应指定或授权专门的部门或人员负责工程实施过程的管理；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b）应制定安全工程实施方案控制实施过程；</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c）应通过第三方工程监理控制项目的实施过程。</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测试验收</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a）应制订测试验收方案，并依据测试验收方案实施测试验收，形成测试验收报告；</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b）应进行上线前的安全性测试，并出具安全测试报告，安全测试报告应包含密码应用安全性安全测试内容。</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系统交付</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a）应制定交付清单，并根据交付清单对所交接的设备、软件和文档等进行清点；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b）应对负责系统运行维护的技术人员进行相应的技能培训；</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c）应提供建设过程文档和运行维护文档。</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等级测评</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a）应定期进行等级测评，发现不符合相应等级保护标准要求的及时整改；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b）在发生重大变化或级别发生时进行等级测评；</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c）应确保测评机构的选择符合国家相关规定。</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服务供应商管理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a）应确保服务供应商的选择符合国家的有关规定；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b）应与选定的供应商签订相关协议，明确整个服务供应链各方需履行的网络安全相关义务；</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c）应定期监督、评审和审核服务供应商提供的服务，并对其变更服务进行控制。</w:t>
                  </w:r>
                </w:p>
              </w:tc>
            </w:tr>
            <w:tr>
              <w:tc>
                <w:tcPr>
                  <w:tcW w:type="dxa" w:w="31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安全运维管理</w:t>
                  </w: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a）应指定专门的部门或人员负责机房安全，对机房出入进行管理，定期对机房供配电、空调、温湿度控制、消防等设施进行维护管理；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b）应建立机房安全管理制度，对有关物理访问，物品带进带出和环境安全等方面的管理作出规定；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c）应不在重要区域接待来访人员，不随意放置包含敏感信息的纸质文件和移动介质。</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资产管理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a）应编制并保存与信息系统相关的资产清单，包括资产责任部门、重要程度和所处位置等内容；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b）应根据资产的重要程度对资产进行标识管理，根据资产的价值选择相应的管理措施；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c）应对信息分类与标识方法做出规定，并对信息的使用，传输和存储等进行规范化管理。</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介质管理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a）应将介质存放在安全的环境中，对各类介质进行控制和保护，实行存储环境专人管理并根据存档介质的目录清单定期盘点；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b）应对介质在物理传输过程中的人员选择、打包、交付等情况进行控制，并对介质归档和查询等进行登记记录。</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设备维护管理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a）应对各种设备（包括备份和冗余设备）、线路等指定专门的部门或人员定期进行维护管理；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b）应建立配套设施、软硬件维护方面的管理制度，对其维护进行有效的管理，包括明确维护人员的责任、维修和服务的审批、维修过程的监督控制等；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c）信息处理设备应经过审批才能带离机房或办公地点，含有储存介质的设备带出工作环境时其重要数据应加密；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d）含有存储介质的设备在报废或重用前，应进行完全清除或完全覆盖，保证该设备上的敏感数据和授权软件无法被恢复重用。</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漏洞和风险管理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a）应采取必要的措施识别安全漏洞和隐患，对发现的安全漏洞和隐患及时进行修补或评估可能的影响后进行修补；</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b)应定期开展安全测评，形成安全测评报告，采取措施应对发现的安全问题。</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网络和系统安全管理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a）应划分不同的管理员角色进行网络和系统的运维管理，明确各个角色的责任和权限；</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b）应指定专门的部门或人员进行账户管理，对申请账户，建立账户、删除账户等进行控制；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c）应建立网络和系统安全管理制度，对安全策略、账户管理、配置管理、日志管理、日常操作、升级与打补丁、口令更新周期等方面作出规定；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d）应制定重要设备的配置和操作手册，依据手册对设备进行安全配置和优化配置等；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e）应详细记录运维操作日志，包括日常巡检工作，运行维护记录、参数的设置和修改的内容；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f）应指定专门的部门或人员对日志、监测和报警数据等进行分析、统计，及时发现可疑行为；</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g）应严格控制变更性运维，经过审批后才可改变连接，安装系统组件或调整配置参数，操作过程中应保留不可更改的审计日志，操作结束后应同步配置更新配置信息库；</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H）应严格控制运维工具的使用，经过审批后才可接入进行操作，操作过程中应保留不可更改的审计日志，操作结束后应删除工具中的敏感数据；</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i）应严格控制远程运维的开通，经过审批后才可开通远程运维接口或通道，操作过程中应保留不可更改的审计日志，操作结束后立即关闭接口或通道；</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j）应保证所有与外部的连接均得到授权和批准，应定期检查违反规定无线上网及其他违反网络安全策略行为。</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恶意代码防范管理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a）应提高所有用户的防恶意代码意识，对外来计算机或存储设备接入系统前进行恶意代码检查等；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b）应定期验证防范恶意代码攻击的技术措施的有效性。</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配置管理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a）应记录和保存基本配置信息，包括网络拓扑结构、各类设备安装的软件组件、软件组件的版本和补丁信息、各个设备或软件组件的配置参数等；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b)应将基本信息改变纳入变更范畴，实施对配置信息改变的控制，并及时更新基本配置信息库。</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密码管理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a）应遵循密码相关国家标准和行业标准；</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b）应使用国家密码管理主管部门认证核准的密码技术和产品。</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变更管理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a）应明确变更需求，变更前根据变更需求制定变更方案、变更方案经过评审、审批后方可实施；</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b）应建立变更的申报和审批控制程序，依据程序控制所有的变更，记录变更实施过程；</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c）应建立终止变更并从失败的变更中恢复的程序，明确过程控制方法和人员职责，必要时对恢复过程进行演练。</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备份与恢复管理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a）应识别需要定期备份的重要业务信息、系统数据及软件系统等；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b）应规定备份信息的备份方式、备份频度、存储介质和保存期等；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c）应根据数据的重要性和数据对系统运行的影响，制定数据的备份策略和恢复策略，备份程序和恢复程序等。</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安全事件处置</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a）应及时向安全管理部门报告所发现的安全弱点和可疑事件；</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b）应制定安全事件报告和处置管理制度，明确不同安全事件的报告、处置和响应流程，规定安全事件的现场处理、事件报告和后期恢复的管理职责等；</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c）应在安全事件和响应处理过程中，分析和鉴定事件产生的原因，收集证据，记录处理过程，总结经验教训；</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D）对造成系统中断和造成信息泄露的重大安全事件应采用不同的处理程序和报告程序。</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应急预案管理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a)应规定统一的应急预案框架，包括启动预案的条件，应急组织构成，应急资源保障，事后教育和培训等内容；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b）应制定重要事件的应急预案，包括应急处理流程、系统恢复流程等内容；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c）应定期对系统相关的人员进行应急预案培训，并进行应急预案的演练；</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d)应定期对原有的应急预案重新评估，修订完善。</w:t>
                  </w:r>
                </w:p>
              </w:tc>
            </w:tr>
            <w:tr>
              <w:tc>
                <w:tcPr>
                  <w:tcW w:type="dxa" w:w="315"/>
                  <w:vMerge/>
                  <w:tcBorders>
                    <w:top w:val="none" w:color="000000" w:sz="4"/>
                    <w:left w:val="single" w:color="000000" w:sz="4"/>
                    <w:bottom w:val="single" w:color="000000" w:sz="4"/>
                    <w:right w:val="single" w:color="000000" w:sz="4"/>
                  </w:tcBorders>
                </w:tcPr>
                <w:p/>
              </w:tc>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外包运维管理</w:t>
                  </w: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a）应确保外包运维供应商的选择符合国家有关规定；</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b）应与选定的外包运维供应商签订相关的协议，明确约定外包运维的范围、工作内容；</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d）应保证选择的外包运维供应商在技术和管理方面均应具有按照等级保护要求开展安全运维工作的能力，并将能力在签订的协议中明确；</w:t>
                  </w:r>
                </w:p>
              </w:tc>
            </w:tr>
            <w:tr>
              <w:tc>
                <w:tcPr>
                  <w:tcW w:type="dxa" w:w="315"/>
                  <w:vMerge/>
                  <w:tcBorders>
                    <w:top w:val="none" w:color="000000" w:sz="4"/>
                    <w:left w:val="single" w:color="000000" w:sz="4"/>
                    <w:bottom w:val="single" w:color="000000" w:sz="4"/>
                    <w:right w:val="single" w:color="000000" w:sz="4"/>
                  </w:tcBorders>
                </w:tcPr>
                <w:p/>
              </w:tc>
              <w:tc>
                <w:tcPr>
                  <w:tcW w:type="dxa" w:w="482"/>
                  <w:vMerge/>
                  <w:tcBorders>
                    <w:top w:val="none" w:color="000000" w:sz="4"/>
                    <w:left w:val="single" w:color="000000" w:sz="4"/>
                    <w:bottom w:val="single" w:color="000000" w:sz="4"/>
                    <w:right w:val="single" w:color="000000" w:sz="4"/>
                  </w:tcBorders>
                </w:tcPr>
                <w:p/>
              </w:tc>
              <w:tc>
                <w:tcPr>
                  <w:tcW w:type="dxa" w:w="1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d）应在与外包运维供应商签订的协议中明确所有相关的安全要求，如可能涉及对敏感信息的访问、处理、储存要求，对IT基础设施中断服务的应急保障要求等。</w:t>
                  </w:r>
                </w:p>
              </w:tc>
            </w:tr>
          </w:tbl>
          <w:p>
            <w:pPr>
              <w:pStyle w:val="null3"/>
              <w:jc w:val="left"/>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rPr>
              <w:t>三、项目管理要求</w:t>
            </w:r>
          </w:p>
          <w:p>
            <w:pPr>
              <w:pStyle w:val="null3"/>
              <w:jc w:val="left"/>
            </w:pPr>
            <w:r>
              <w:rPr>
                <w:rFonts w:ascii="仿宋_GB2312" w:hAnsi="仿宋_GB2312" w:cs="仿宋_GB2312" w:eastAsia="仿宋_GB2312"/>
              </w:rPr>
              <w:t>1.项目管理总体要求</w:t>
            </w:r>
          </w:p>
          <w:p>
            <w:pPr>
              <w:pStyle w:val="null3"/>
              <w:jc w:val="left"/>
            </w:pPr>
            <w:r>
              <w:rPr>
                <w:rFonts w:ascii="仿宋_GB2312" w:hAnsi="仿宋_GB2312" w:cs="仿宋_GB2312" w:eastAsia="仿宋_GB2312"/>
              </w:rPr>
              <w:t>测评机构应在被测评单位统一组织协调下，开展好前期调研、现场实施和报告撰写等工作。测评机构所提供的项目经理和实施人员应是具有丰富经验和专业技能的技术骨干，应有同类项目经验。在测评机构以往参与的项目中，应具有项目实施、熟悉项目需求和团队建设方面的优势。测评机构应在项目全过程中严格遵循各项管理制度的要求，确保项目顺利开展。</w:t>
            </w:r>
          </w:p>
          <w:p>
            <w:pPr>
              <w:pStyle w:val="null3"/>
              <w:jc w:val="left"/>
            </w:pPr>
            <w:r>
              <w:rPr>
                <w:rFonts w:ascii="仿宋_GB2312" w:hAnsi="仿宋_GB2312" w:cs="仿宋_GB2312" w:eastAsia="仿宋_GB2312"/>
              </w:rPr>
              <w:t>本项目测评驻场人员要求：承担本次测评工作的供应商至少有</w:t>
            </w:r>
            <w:r>
              <w:rPr>
                <w:rFonts w:ascii="仿宋_GB2312" w:hAnsi="仿宋_GB2312" w:cs="仿宋_GB2312" w:eastAsia="仿宋_GB2312"/>
              </w:rPr>
              <w:t>2名高级测评师，2名中级测评师,2名初级测评师。本次等级保护测评服务不得转包或者分包，所有驻场测评师必须是测评机构自己的正式在职员工,所有驻场测评师必须持证上岗，响应文件中应提供项目组驻场人员名单以及社保主管部门出具的响应单位为其缴纳社保的证明、驻场人员信息安全等级测评师证书复印件及原件，未经采购方同意，项目组成员不得更改。</w:t>
            </w:r>
          </w:p>
          <w:p>
            <w:pPr>
              <w:pStyle w:val="null3"/>
              <w:jc w:val="left"/>
            </w:pPr>
            <w:r>
              <w:rPr>
                <w:rFonts w:ascii="仿宋_GB2312" w:hAnsi="仿宋_GB2312" w:cs="仿宋_GB2312" w:eastAsia="仿宋_GB2312"/>
              </w:rPr>
              <w:t>测评单位统一组织协调下，开展好前期调研、现场实施和报告撰写等工作。测评机构所提供的项目经理和实施人员应是具有丰富经验和专业技能的技术骨干，应有同类项目经验，且符合项目人员要求。在测评机构以往参与的项目中，应具有项目实施、熟悉项目需求和团队建设方面的优势。测评机构应在项目全过程中严格遵循各项管理制度的要求，确保项目顺利开展。</w:t>
            </w:r>
          </w:p>
          <w:p>
            <w:pPr>
              <w:pStyle w:val="null3"/>
              <w:jc w:val="left"/>
            </w:pPr>
            <w:r>
              <w:rPr>
                <w:rFonts w:ascii="仿宋_GB2312" w:hAnsi="仿宋_GB2312" w:cs="仿宋_GB2312" w:eastAsia="仿宋_GB2312"/>
              </w:rPr>
              <w:t>2.项目管理保密要求</w:t>
            </w:r>
          </w:p>
          <w:p>
            <w:pPr>
              <w:pStyle w:val="null3"/>
              <w:jc w:val="left"/>
            </w:pPr>
            <w:r>
              <w:rPr>
                <w:rFonts w:ascii="仿宋_GB2312" w:hAnsi="仿宋_GB2312" w:cs="仿宋_GB2312" w:eastAsia="仿宋_GB2312"/>
              </w:rPr>
              <w:t>测评机构应与被测评单位签订正式保密协议，并在工作中坚持保密原则，确保应答人及其员工严格规范执行各项保密制度，杜绝任何泄密事件的发生。测评机构需明确将采取的保密措施，对员工的保密管理措施，以及一旦发生泄密事件将采取的措施、需承担的责任。</w:t>
            </w:r>
          </w:p>
          <w:p>
            <w:pPr>
              <w:pStyle w:val="null3"/>
              <w:jc w:val="left"/>
            </w:pPr>
            <w:r>
              <w:rPr>
                <w:rFonts w:ascii="仿宋_GB2312" w:hAnsi="仿宋_GB2312" w:cs="仿宋_GB2312" w:eastAsia="仿宋_GB2312"/>
              </w:rPr>
              <w:t>3.项目风险控制</w:t>
            </w:r>
          </w:p>
          <w:p>
            <w:pPr>
              <w:pStyle w:val="null3"/>
              <w:jc w:val="left"/>
            </w:pPr>
            <w:r>
              <w:rPr>
                <w:rFonts w:ascii="仿宋_GB2312" w:hAnsi="仿宋_GB2312" w:cs="仿宋_GB2312" w:eastAsia="仿宋_GB2312"/>
              </w:rPr>
              <w:t>测评机构应能够对信息安全等级测评项目过程进行充分的风险考虑，并制定相应的风险规避措施和控制方法。在项目实施过程中，应做好计划与安排，不影响被测评单位正常业务工作的开展。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标的名称：数据安全风险评估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一、服务内容</w:t>
            </w:r>
          </w:p>
          <w:p>
            <w:pPr>
              <w:pStyle w:val="null3"/>
              <w:jc w:val="left"/>
            </w:pPr>
            <w:r>
              <w:rPr>
                <w:rFonts w:ascii="仿宋_GB2312" w:hAnsi="仿宋_GB2312" w:cs="仿宋_GB2312" w:eastAsia="仿宋_GB2312"/>
              </w:rPr>
              <w:t>对陕西省公路局的</w:t>
            </w:r>
            <w:r>
              <w:rPr>
                <w:rFonts w:ascii="仿宋_GB2312" w:hAnsi="仿宋_GB2312" w:cs="仿宋_GB2312" w:eastAsia="仿宋_GB2312"/>
              </w:rPr>
              <w:t>6个信息系统开展数据安全风险评估服务，评估完毕后出具《数据安全风险评估报告》（每个系统1份），并提出整改建议。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二、服务要求</w:t>
            </w:r>
          </w:p>
          <w:p>
            <w:pPr>
              <w:pStyle w:val="null3"/>
              <w:jc w:val="left"/>
            </w:pPr>
            <w:r>
              <w:rPr>
                <w:rFonts w:ascii="仿宋_GB2312" w:hAnsi="仿宋_GB2312" w:cs="仿宋_GB2312" w:eastAsia="仿宋_GB2312"/>
              </w:rPr>
              <w:t>（一）技术要求</w:t>
            </w:r>
          </w:p>
          <w:p>
            <w:pPr>
              <w:pStyle w:val="null3"/>
              <w:jc w:val="left"/>
            </w:pPr>
            <w:r>
              <w:rPr>
                <w:rFonts w:ascii="仿宋_GB2312" w:hAnsi="仿宋_GB2312" w:cs="仿宋_GB2312" w:eastAsia="仿宋_GB2312"/>
              </w:rPr>
              <w:t>根据《数据安全技术</w:t>
            </w:r>
            <w:r>
              <w:rPr>
                <w:rFonts w:ascii="仿宋_GB2312" w:hAnsi="仿宋_GB2312" w:cs="仿宋_GB2312" w:eastAsia="仿宋_GB2312"/>
              </w:rPr>
              <w:t>数据安全风险评估方法》（</w:t>
            </w:r>
            <w:r>
              <w:rPr>
                <w:rFonts w:ascii="仿宋_GB2312" w:hAnsi="仿宋_GB2312" w:cs="仿宋_GB2312" w:eastAsia="仿宋_GB2312"/>
              </w:rPr>
              <w:t>GB/T45577-2025）、《数据安全技术数据分类分级规则》（GB/T 43697-2024）、《信息安全技术个人信息安全规范》（GB/T 35273-2020）、《信息安全技术 信息安全风险评估方法》（GB/T 20984-2022）等标准开展6个业务系统数据安全风险评估工作。围绕数据和数据处理的活动，通过信息调研识别数据处理者、业务和信息系统、数据、数据处理活动、安全措施等相关要素，从数据安全管理、数据处理活动、数据安全技术、个人信息保护等方面识别风险，梳理风险源清单分析数据安全风险，出具《数据安全风险评估报告》。</w:t>
            </w:r>
          </w:p>
          <w:p>
            <w:pPr>
              <w:pStyle w:val="null3"/>
              <w:jc w:val="left"/>
            </w:pPr>
            <w:r>
              <w:rPr>
                <w:rFonts w:ascii="仿宋_GB2312" w:hAnsi="仿宋_GB2312" w:cs="仿宋_GB2312" w:eastAsia="仿宋_GB2312"/>
              </w:rPr>
              <w:t>（二）保密要求</w:t>
            </w:r>
          </w:p>
          <w:p>
            <w:pPr>
              <w:pStyle w:val="null3"/>
              <w:jc w:val="left"/>
            </w:pPr>
            <w:r>
              <w:rPr>
                <w:rFonts w:ascii="仿宋_GB2312" w:hAnsi="仿宋_GB2312" w:cs="仿宋_GB2312" w:eastAsia="仿宋_GB2312"/>
              </w:rPr>
              <w:t>供应商对工作中了解到的陕西省公路局的技术和数据等信息进行严格保密，不得向他人泄漏。服务期结束之日起</w:t>
            </w:r>
            <w:r>
              <w:rPr>
                <w:rFonts w:ascii="仿宋_GB2312" w:hAnsi="仿宋_GB2312" w:cs="仿宋_GB2312" w:eastAsia="仿宋_GB2312"/>
              </w:rPr>
              <w:t>30个工作日内，供应商应删除本项目服务过程中产生的全部信息和数据。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人员配备应齐全、合理，满足项目服务要求。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人员配备应齐全、合理，满足项目服务要求。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满足项目服务要求。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满足项目服务要求。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陕西省公路局指定地点。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陕西省公路局指定地点。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2.甲方收到乙方的验收申请后，组织乙方（必要时请有关专家）进行项目验收。乙方提交合同履约情况总结报告，并经甲方确认。验收合格后，填写项目验收单作为对项目的最终认可。3.验收依据：①本合同及附件文本；②竞争性磋商文件、磋商响应文件、澄清表（函）；③国家相应的标准、规范。4.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2.甲方收到乙方的验收申请后，组织乙方（必要时请有关专家）进行项目验收。乙方提交合同履约情况总结报告，并经甲方确认。验收合格后，填写项目验收单作为对项目的最终认可。3.验收依据：①本合同及附件文本；②竞争性磋商文件、磋商响应文件、澄清表（函）；③国家相应的标准、规范。4.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付款条件说明，合同签订后，甲方收到乙方缴纳的履约保证金及开具的等额增值税普通发票之日起，达到付款条件起20个工作日内，支付合同总金额的60.0%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付款条件说明，提交测评报告经甲方审核通过后，乙方向甲方提供等额增值税普通发票，甲方收到符合要求的发票后，达到付款条件起20个工作日内，支付合同总金额的40.0%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付款条件说明，合同签订后，甲方收到乙方缴纳的履约保证金及开具的等额增值税普通发票之日起，达到付款条件起20个工作日内，支付合同总金额的60.0%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付款条件说明，提交测评报告经甲方审核通过后，乙方向甲方提供等额增值税普通发票，甲方收到符合要求的发票后，达到付款条件起20个工作日内，支付合同总金额的40.0%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4.乙方逾期完成服务的，每逾期一日，向甲方承担合同总金额1%的违约金，逾期 10 日的，甲方有权单方解除本合同且保留追究乙方违约责任的权利，给甲方造成损失的，乙方还应予以赔偿。5.乙方应保证其提交的服务成果不存在侵犯他人权益的情形，否则，因此引发的责任及纠纷由乙方承担，对甲方造成损失的，乙方应予以赔偿，此外，乙方还应向甲方承担合同总金额10%的违约金。6.乙方应对其服务及服务成果的合法性、科学性、有效性、客观性、真实性负责，否则，相关责任及纠纷由乙方承担，对甲方造成损失的，乙方应予赔偿，此外，乙方还应向甲方承担合同总金额10%的违约金。7.乙方在为甲方提供服务过程中所产生的所有成果，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8.乙方未按合同约定或甲方要求提供服务的，每出现一次应承担合同总价款【1】%的违约金，出现【3】次的，甲方有权单方解除本合同，给甲方造成损失的，乙方还应予以赔偿。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（二）合同争议的解决 在执行本合同中发生的或与本合同有关的争端，双方应通过友好协商解决，经协商无法解决的，应向甲方所在地有管辖权的人民法院提请诉讼。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（一）违约责任 1.甲乙双方必须遵守本合同并执行合同中的各项规定，保证本合同的正常履行。2.如因乙方工作人员在履行职务过程中的疏忽、失职、过错等故意或者过失原因给甲方造成损失或侵害，包括但不限于甲方本身的财产损失、由此而导致的甲方对任何第三方的法律责任等，乙方对此均应承担全部的赔偿责任。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4.乙方逾期完成服务的，每逾期一日，向甲方承担合同总金额1%的违约金，逾期 10 日的，甲方有权单方解除本合同且保留追究乙方违约责任的权利，给甲方造成损失的，乙方还应予以赔偿。5.乙方应保证其提交的服务成果不存在侵犯他人权益的情形，否则，因此引发的责任及纠纷由乙方承担，对甲方造成损失的，乙方应予以赔偿，此外，乙方还应向甲方承担合同总金额10%的违约金。6.乙方应对其服务及服务成果的合法性、科学性、有效性、客观性、真实性负责，否则，相关责任及纠纷由乙方承担，对甲方造成损失的，乙方应予赔偿，此外，乙方还应向甲方承担合同总金额10%的违约金。7.乙方在为甲方提供服务过程中所产生的所有成果，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8.乙方未按合同约定或甲方要求提供服务的，每出现一次应承担合同总价款【1】%的违约金，出现【3】次的，甲方有权单方解除本合同，给甲方造成损失的，乙方还应予以赔偿。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（二）合同争议的解决 在执行本合同中发生的或与本合同有关的争端，双方应通过友好协商解决，经协商无法解决的，应向甲方所在地有管辖权的人民法院提请诉讼。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1.各供应商应根据“陕西省财政厅陕财办采函[2023]14号文”陕西省财政厅关于省级预算单位全面推行 政府采购项目电子化交易的通知”、《政府采购项目电子化交易规则》等文件的要求，做好人员配备、设施设备、系统操作的相应准备，熟悉并正确实施相关操作流程，承担由于操作或其他因素造成的不利后果；2.中标供应商在领取中标通知书后3个工作日内向采购代理机构提供纸质版投标（或响应）文件正本1份、副本1份。纸质投标文件建议A4纸双面打印，装订成册并编制目录和页码，并加盖公章。 2.磋商保证金缴纳凭证上建议写明项目编号、项目名称（简称也可）和磋商保证金字样，便于西北（陕西）国际招标有限公司财务部查询登记。 3.支付方式与支付约定以合同签订为准。 4.供应商可选择参加一个或多个采购包，可兼投但不可兼中。评审委员会按照采购包序号由小到大的顺序评审各个采购包，同一供应商只能最多被推荐为一个采购包（采购包序号靠前的）的第一成交候选人。已被之前采购包推荐为第一成交候选人的供应商，可以继续参加之后采购包的响应，但不能被推荐为之后采购包的第一成交候选人。如磋商文件前后规定不一致，以此处规定为准。 5.磋商保证金相关事宜：未成交人的磋商保证金，在成交通知书发出后五个工作日内退还；成交人的磋商保证金，在采购合同签订后五个工作日内退还。有下列情形之一的，保证金不予退还：1）供应商在提交响应文件截止时间后撤回响应文件的；2）供应商在响应文件中提供虚假材料的；3）除因不可抗力或磋商文件认可的情形以外，成交供应商不与采购人签订合同的；4）供应商与采购人、其他供应商或者采购代理机构恶意串通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提供注册登记凭证（营业执照、其他组织经营的合法凭证，自然人的提供身份证明文件）。2.具有良好的商业信誉和健全的财务会计制度 提供经审计的2024年或2025年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3.具有履行合同所必需的设备和专业技术能力 提供声明文件。4.具有依法缴纳税收的良好记录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6 .参加政府采购活动前3年内在经营活动中没有重大违法记录的书面声明。7.法定代表人身份证明文件及法人代表授权书。</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 提供注册登记凭证（营业执照、其他组织经营的合法凭证，自然人的提供身份证明文件）。2.具有良好的商业信誉和健全的财务会计制度 提供经审计的2024年或2025年具有注册会计师行业统一监管平台出具赋码的财务报告（包括四表一注，即资产负债表、利润表、现金流量表、所有者权益变动表及其附注），且无反对意见；事业法人提供部门决算报告；/或在磋商日期前六个月内其基本开户银行出具的资信证明（附基本存款账户信息等证明材料）；/或专业担保机构出具的磋商担保函；/或表明具有良好的商业信誉和健全的财务会计制度的诚信声明；以上四种形式的资料提供任何一种即可。3.具有履行合同所必需的设备和专业技术能力 提供声明文件。4.具有依法缴纳税收的良好记录 提供缴费所属日期为磋商截止时间前6个月内任一月份（磋商截止时间当月不计入）的缴费凭据或税务机关出具的完税证明或（在法规范围内不需提供的应出具书面说明和证明文件）/或具有依法缴纳税收的诚信声明。以上二种形式的资料提供任何一种即可。5.具有依法缴纳社会保障资金的良好记录 提供缴费所属日期为磋商截止时间前6个月内任一月份（磋商截止时间当月不计入）的缴费凭据或社保机关出具的缴费证明（在法规范围内不需提供的应出具书面说明和证明文件）；/或具有依法缴纳社会保障资金的缴纳记录的诚信声明。以上二种形式的资料提供任何一种即可。6 .参加政府采购活动前3年内在经营活动中没有重大违法记录的书面声明。7.法定代表人身份证明文件及法人代表授权书。</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在磋商截止时间，供应商不得存在列入失信被执行人（“中国执行信息公开网”http://zxgk.court.gov.cn/shixin/）的情形、不得存在列入信用中国（www.creditchina.gov.cn）重大税收违法失信主体和政府采购严重违法失信行为记录名单的情形，不得存在列入中国政府采购网（www.ccgp.gov.cn）政府采购严重违法失信行为记录名单的情形。</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供应商应具备《网络安全等级测评与检测评估机构服务认证证书》。</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供应商信用信息查询</w:t>
            </w:r>
          </w:p>
        </w:tc>
        <w:tc>
          <w:tcPr>
            <w:tcW w:type="dxa" w:w="3322"/>
          </w:tcPr>
          <w:p>
            <w:pPr>
              <w:pStyle w:val="null3"/>
            </w:pPr>
            <w:r>
              <w:rPr>
                <w:rFonts w:ascii="仿宋_GB2312" w:hAnsi="仿宋_GB2312" w:cs="仿宋_GB2312" w:eastAsia="仿宋_GB2312"/>
              </w:rPr>
              <w:t>在磋商截止时间，供应商不得存在列入失信被执行人（“中国执行信息公开网”http://zxgk.court.gov.cn/shixin/）的情形、不得存在列入信用中国（www.creditchina.gov.cn）重大税收违法失信主体和政府采购严重违法失信行为记录名单的情形，不得存在列入中国政府采购网（www.ccgp.gov.cn）政府采购严重违法失信行为记录名单的情形。</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通过符合性审查供应商的报价，有可能影响服务质量或者不能诚信履约的，将要求其在评审现场合理的时间内提供书面说明，必要时提交相关证明材料；供应商不能证明其报价合理性的，磋商小组应当将其作为无效投标处理。 1.1政府采购评审中出现下列情形之一的，磋商小组应当启动异常低价投标(响应)审查程序： 1.1.1投标(响应)报价低于全部通过符合性审查供应商投标(响应)报价平均值50%的，即 投标(响应)报价&lt;全部通过符合性审查供应商投标(响应)报价平均值×50%; 1.1.2投标(响应)报价低于通过符合性审查的次低报价供应商投标(响应)报价50%的，即 投标(响应)报价&lt;通过符合性审查的次低报价供应商投标(响应)报价×50%; 1.1.3投标(响应)报价低于采购项目最高限价45%的，即投标(响应)报价&lt;采购项目最高限价×45%; 1.1.4磋商小组基于专业判断，认为供应商报价过低，有可能影响产品质量或者不能诚信 履约的其他情形。 1.2磋商小组启动异常低价投标(响应)审查后，属于前述第1项至第4项情形的，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合格、有效，磋商报价是否未超过采购预算或最高限价，磋商报价有效期是否符合磋商文件的要求，是否完全满足磋商文件所要求的合同及商务条款。</w:t>
            </w:r>
          </w:p>
        </w:tc>
        <w:tc>
          <w:tcPr>
            <w:tcW w:type="dxa" w:w="1661"/>
          </w:tcPr>
          <w:p>
            <w:pPr>
              <w:pStyle w:val="null3"/>
            </w:pPr>
            <w:r>
              <w:rPr>
                <w:rFonts w:ascii="仿宋_GB2312" w:hAnsi="仿宋_GB2312" w:cs="仿宋_GB2312" w:eastAsia="仿宋_GB2312"/>
              </w:rPr>
              <w:t>响应文件封面 技术商务部分.docx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通过符合性审查供应商的报价，有可能影响服务质量或者不能诚信履约的，将要求其在评审现场合理的时间内提供书面说明，必要时提交相关证明材料；供应商不能证明其报价合理性的，磋商小组应当将其作为无效投标处理。 1.1政府采购评审中出现下列情形之一的，磋商小组应当启动异常低价投标(响应)审查程序： 1.1.1投标(响应)报价低于全部通过符合性审查供应商投标(响应)报价平均值50%的，即 投标(响应)报价&lt;全部通过符合性审查供应商投标(响应)报价平均值×50%; 1.1.2投标(响应)报价低于通过符合性审查的次低报价供应商投标(响应)报价50%的，即 投标(响应)报价&lt;通过符合性审查的次低报价供应商投标(响应)报价×50%; 1.1.3投标(响应)报价低于采购项目最高限价45%的，即投标(响应)报价&lt;采购项目最高限价×45%; 1.1.4磋商小组基于专业判断，认为供应商报价过低，有可能影响产品质量或者不能诚信 履约的其他情形。 1.2磋商小组启动异常低价投标(响应)审查后，属于前述第1项至第4项情形的，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1.3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磋商响应文件的完整性、有效性、响应性审查</w:t>
            </w:r>
          </w:p>
        </w:tc>
        <w:tc>
          <w:tcPr>
            <w:tcW w:type="dxa" w:w="3322"/>
          </w:tcPr>
          <w:p>
            <w:pPr>
              <w:pStyle w:val="null3"/>
            </w:pPr>
            <w:r>
              <w:rPr>
                <w:rFonts w:ascii="仿宋_GB2312" w:hAnsi="仿宋_GB2312" w:cs="仿宋_GB2312" w:eastAsia="仿宋_GB2312"/>
              </w:rPr>
              <w:t>响应文件是否按照磋商文件要求的格式编写，响应文件的签署、加盖印章是否合格、有效，磋商报价是否未超过采购预算或最高限价，磋商报价有效期是否符合磋商文件的要求，是否完全满足磋商文件所要求的合同及商务条款。</w:t>
            </w:r>
          </w:p>
        </w:tc>
        <w:tc>
          <w:tcPr>
            <w:tcW w:type="dxa" w:w="1661"/>
          </w:tcPr>
          <w:p>
            <w:pPr>
              <w:pStyle w:val="null3"/>
            </w:pPr>
            <w:r>
              <w:rPr>
                <w:rFonts w:ascii="仿宋_GB2312" w:hAnsi="仿宋_GB2312" w:cs="仿宋_GB2312" w:eastAsia="仿宋_GB2312"/>
              </w:rPr>
              <w:t>响应文件封面 技术商务部分.docx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供应商针对本项目提供详细的服务方案，需充分结合项目实际情况，满足采购需求，方案内容完整、具体、可行、科学合理。 1.评审内容： （1）服务目标及原则；（2）服务框架（要求图形和描述来说明服务的流程、各阶段的工作以及各阶段的成果，图形要简洁明了）；（3）工作重点与难点分析及对应措施。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测评方案</w:t>
            </w:r>
          </w:p>
        </w:tc>
        <w:tc>
          <w:tcPr>
            <w:tcW w:type="dxa" w:w="2492"/>
          </w:tcPr>
          <w:p>
            <w:pPr>
              <w:pStyle w:val="null3"/>
            </w:pPr>
            <w:r>
              <w:rPr>
                <w:rFonts w:ascii="仿宋_GB2312" w:hAnsi="仿宋_GB2312" w:cs="仿宋_GB2312" w:eastAsia="仿宋_GB2312"/>
              </w:rPr>
              <w:t>供应商针对本项目提供网络安全等级保护测评方案，依据网络安全等级保护2.0标准要求进行设计。 1.评审内容： （1）安全物理环境；（2）安全通信网络；（3）主机安全;（4）应用安全;（5）数据安全；（6）安全管理机构;（7）系统建设管理；（8）系统运维管理。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3.赋分标准：每一项评审内容满足每一项评审标准的得0.5分，最多得1.5分。每一项内容相对每一项评审标准存在一处漏洞或缺陷扣0.1-0.3分，1.5分扣完为止。未提供相关评审内容的，该项得0分。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渗透测试方案</w:t>
            </w:r>
          </w:p>
        </w:tc>
        <w:tc>
          <w:tcPr>
            <w:tcW w:type="dxa" w:w="2492"/>
          </w:tcPr>
          <w:p>
            <w:pPr>
              <w:pStyle w:val="null3"/>
            </w:pPr>
            <w:r>
              <w:rPr>
                <w:rFonts w:ascii="仿宋_GB2312" w:hAnsi="仿宋_GB2312" w:cs="仿宋_GB2312" w:eastAsia="仿宋_GB2312"/>
              </w:rPr>
              <w:t>供应商针对本项目提供详细的渗透测试，需充分结合项目实际情况，满足采购需求，方案内容完整、具体、可行、科学合理。 1.评审内容： （1）渗透测试流程；（2）各流程阶段的工作内容、配合方式、使用工具、输出成果。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3.赋分标准：每一项评审内容满足每一项评审标准的得1分，最多得3分。每一项内容相对每一项评审标准存在一处漏洞或缺陷扣0.3-0.5分，3分扣完为止。未提供相关评审内容的，该项得0分。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安全需求分析及设计服务方案</w:t>
            </w:r>
          </w:p>
        </w:tc>
        <w:tc>
          <w:tcPr>
            <w:tcW w:type="dxa" w:w="2492"/>
          </w:tcPr>
          <w:p>
            <w:pPr>
              <w:pStyle w:val="null3"/>
            </w:pPr>
            <w:r>
              <w:rPr>
                <w:rFonts w:ascii="仿宋_GB2312" w:hAnsi="仿宋_GB2312" w:cs="仿宋_GB2312" w:eastAsia="仿宋_GB2312"/>
              </w:rPr>
              <w:t>供应商针对本项目提供详细的安全需求分析及设计服务方案，需充分结合项目实际情况，满足采购需求，方案内容完整、具体、可行、科学合理。 1.评审内容： （1）对采购单位的信息系统做安全方案设计；（2）提出有针对性的安全规划方案。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3.赋分标准：每一项评审内容满足每一项评审标准的得0.5分，最多得1.5分。每一项内容相对每一项评审标准存在一处漏洞或缺陷扣0.1-0.3分，1.5分扣完为止。未提供相关评审内容的，该项得0分。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供应商针对本项目提供服务保障措施，内容需结合前述服务方案，并考虑结合项目实际，能够切实保证服务质量。 1.评审内容： （1）质量及安全保障措施；（2）进度保障措施；（3）服务人员岗位职责及管理制度；（4）服务人员培训计划。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3.赋分标准：每一项评审内容满足每-项评审标准的得0.5分，最多得1.5分。每一项内容相对每一项评审标准存在一处漏洞或缺陷扣0.1-0.3分，1.5分扣完为止。未提供相关评审内容的，该项得0分。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供应商针对本项目提供保密方案，内容需结合前述服务方案，并考虑结合项目实际，能够切实保证服务质量。 1.评审内容： （1）保密管理制度；（2）数据和信息安全保密措施；（3）保密承诺。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供应商针对本项目提供应急预案，内容全面、详细、准确，并贴合项目实际需求。 1.评审内容： （1）应急预案及保障措施；（2）应急人数及人员安排。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3.赋分标准：每一项评审内容满足每-项评审标准的得0.5分，最多得1.5分。每一项内容相对每一项评审标准存在一处漏洞或缺陷扣0.1-0.3分，1.5分扣完为止。未提供相关评审内容的，该项得0分。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供应商针对本项目提供服务承诺，贴合项目实际需求。 1.评审内容： （1）售后服务方案承诺；（2）故障响应及解决时间承诺。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3.赋分标准：每一项评审内容满足每一项评审标准的得0.5分，最多得1.5分。每一项内容相对每一项评审标准存在一处漏洞或缺陷扣0.1-0.3分，1.5分扣完为止。未提供相关评审内容的，该项得0分。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1.供应商具有信息安全风险评估一级证书得1.5分，信息安全风险评估二级证书得1分，信息安全风险评估三级证书得0.5分，未提供不得分； 2.供应商具有信息安全应急处理一级证得书1.5分，信息安全应急处理二级证书得1分，信息安全应急处理三级证书得0.5分，未提供不得分； 3.供应商具有《网络安全审计》类资质证书得1.5分，未提供不得分； 4.供应商具有信息安全服务（安全工程类）或(安全运维类)的得1.5分，未提供不得分； 5.供应商具有《ISO27001信息安全管理体系认证证书》得1.5分，未提供不得分； 6.供应商具有《ISO9000体系认证》得1.5分，未提供不得分。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1.拟承担本项目的项目经理具有高级测评师证书得1.5分，具有项目管理证书（PMP）或信息系统项目管理师证书(高级)或CISP证书得1.5分。最高得3分，不满足不得分； 2.拟承担本项目的项目组长具有高级测评师证书得1.5分，具有信息安全管理高级工程师证书或CCSC证书得1.5分。最高得3分，不满足不得分； 3.除项目经理、项目组长外，项目成员中级测评师不得少于2人，初级测评师不得少于2人，但可优于以上条件。满足基本要求得4分，不满足不得分； 在此基础上每增加1名高级测评师加1分，每增加1名中级测评师加0.5分，最高加1分； 除项目经理和项目组长外，项目组成员如具CISP、CISA、NSATP-A、Security+证书、CCSK证书、ISO/IEC27001证书中任意一个加1分，最高加4分。 注：如一个项目成员同时具有以上多个证书，也按1分核算，不累计。 以上项目团队人员需提供相关证书扫描件或复印件及响应单位为其缴纳社保的证明，不满足不得分。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供应商需提供2023年1月1日以来独立承担过类似项目业绩，每个业绩计2分，最高计10分。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对其价格（评审价格）进行价格评审。2.满足磋商文件实质性要求且最终报价最低的供应商的价格为磋商基准价，其价格分15分。3.磋商报价得分=（磋商基准价/最终磋商报价）×15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供应商针对本项目提供详细的项目理解。 1.评审内容： （1）数据安全风险评估要素分析；（2）数据安全风险评估内容；（3）数据安全分类分级。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3.赋分标准：每一项评审内容满足每一项评审标准的得1分，最多得3分。每一项内容相对每一项评审标准存在一处漏洞或缺陷扣0.3-0.5分，3分扣完为止。 说明：内容存在漏洞或缺陷是指出现下列任一种情形： （1）套用其他项目理解，或非专门针对本项目或不适用项目特性； （2）表述不完整或缺少关键节点； （3）欠缺科学性、合理性或可行性； （4）表述前后矛盾、无连贯性或内容存在逻辑漏洞、常识性错误； （5）所涉及的规范及标准错误； （6）不利于项目实施的其他情形。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数据安全评估方案</w:t>
            </w:r>
          </w:p>
        </w:tc>
        <w:tc>
          <w:tcPr>
            <w:tcW w:type="dxa" w:w="2492"/>
          </w:tcPr>
          <w:p>
            <w:pPr>
              <w:pStyle w:val="null3"/>
            </w:pPr>
            <w:r>
              <w:rPr>
                <w:rFonts w:ascii="仿宋_GB2312" w:hAnsi="仿宋_GB2312" w:cs="仿宋_GB2312" w:eastAsia="仿宋_GB2312"/>
              </w:rPr>
              <w:t>供应商针对本项目提供数据安全评估方案，需充分结合项目实际情况，满足采购需求，方案内容完整、具体、可行、科学合理。 1.评审内容： （1）评估流程；（2）评估手段；（3）评估实施；（4）风险分析。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3.赋分标准：每一项评审内容满足每一项评审标准的得2分，最多得6分。每一项内容相对每一项评审标准存在一处漏洞或缺陷扣0.5-1分，6分扣完为止。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供应商针对本项目提供服务保障措施，需充分结合项目实际情况，满足采购需求，方案内容完整、具体、可行、科学合理。 1.评审内容： （1）质量及安全保障措施；（2）进度保障措施；（3）服务人员岗位职责及管理制度；（4）服务人员培训计划。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3.赋分标准：每一项评审内容满足每一项评审标准的得0.5分，最多得1.5分。每一项内容相对每一项评审标准存在一处漏洞或缺陷扣0.1-0.3分，1.5分扣完为止。 说明：内容存在漏洞或缺陷是指出现下列任一种情形： （1）套用其他项目方案，或非专门针对本项目或不适用项目特性； （2）方案表述不完整或缺少关键节点； （3）方案欠缺科学性、合理性或可行性； （4）方案表述前后矛盾、无连贯性或内容存在逻辑漏洞、常识性错误； （5）方案所涉及的规范及标准错误； （6）不利于项目实施的其他情形。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供应商针对本项目提供保密方案，内容需结合前述服务方案，并考虑结合项目实际，能够切实保证服务质量。 1.评审内容： （1）保密管理制度；（2）数据和信息安全保密措施；（3）保密承诺。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3.赋分标准：每一项评审内容满足每-项评审标准的得1分，最多得3分。每一项内容相对每一项评审标准存在一处漏洞或缺陷扣0.3-0.5分，3分扣完为止。未提供相关评审内容的，该项得0分。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供应商针对本项目提供服务承诺，贴合项目实际需求。 1.评审内容： （1）售后服务方案承诺；（2）解决时间承诺。 2.评审标准： （1）全面性:内容完整、全面，包括所有评审内容，无遗漏; （2）详细性:内容详细,针对每一评审内容能够有明确具体的描述和说明; （3）合理性:内容合理,准确，符合项目实际情况，有利于项目的实施。 3.赋分标准：每一项评审内容满足每一项评审标准的得0.5分，最多得1.5分。每一项内容相对每一项评审标准存在一处漏洞或缺陷扣0.1-0.3分，1.5分扣完为止。未提供相关评审内容的，该项得0分。 说明：内容存在漏洞或缺陷是指出现下列任一种情形： （1）套用其他项目内容，非专门针对本项目或不适用项目特性； （2）内容表述不完整，或前后不一致，或存在逻辑或内容错误； （3）可行性或实用性不强； （4）其他不合理、不完善的情形。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企业履约能力</w:t>
            </w:r>
          </w:p>
        </w:tc>
        <w:tc>
          <w:tcPr>
            <w:tcW w:type="dxa" w:w="2492"/>
          </w:tcPr>
          <w:p>
            <w:pPr>
              <w:pStyle w:val="null3"/>
            </w:pPr>
            <w:r>
              <w:rPr>
                <w:rFonts w:ascii="仿宋_GB2312" w:hAnsi="仿宋_GB2312" w:cs="仿宋_GB2312" w:eastAsia="仿宋_GB2312"/>
              </w:rPr>
              <w:t>1.供应商具有《数据安全服务能力评定资格证书》得3分，未提供不得分； 2.供应商具有信息安全风险评估一级证书得1.5分，信息安全风险评估二级证书得1分，信息安全风险评估三级证书得0.5分，未提供不得分； 3.供应商具有信息安全应急处理一级证得书1.5分，信息安全应急处理二级证书得1分，信息安全应急处理三级证书得0.5分，未提供不得分； 4.供应商具有《网络安全审计》类资质证书得1分，未提供不得分； 5.供应商具有信息安全服务（安全工程类）或(安全运维类)的得1分，未提供不得分； 6.供应商具有《ISO27001信息安全管理体系认证证书》或《ISO9000体系认证》得1分，未提供不得分；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1.拟承担本项目的项目经理具有CCRC-DSA数据安全评估师证书得2分，具有项目管理证书（PMP）或信息系统项目管理师证书(高级)或CISP证书得2分，最高得4分，不满足不得分； 2.拟承担本项目的项目组长具有CCRC-DSA数据安全评估师证书或数据安全官证书或数据安全管理师证书或数据安全工程师证书得2分，不满足不得分； 3.除项目经理、项目组长外，项目成员中评估工程师不得少于4人，满足要求得4分，不满足要求不得分，在此基础上每增加1名评估工程师加0.5分，最高加1分； 除项目经理和项目组长外，项目组成员具有CCRC-DSA数据安全评估师证书、CISP、CISA、NSATP-A、Security+证书、CCSK证书、ISO/IEC27001证书中任意一个加1分，最高加4分。 注：如一个项目成员同时具有以上多个证书，也按1分核算，不累计。 以上项目团队人员需提供相关证书扫描件或复印件及响应单位为其缴纳社保的证明，不满足不得分。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技术商务部分.docx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供应商需提供2023年1月1日以来独立承担过类似项目业绩，每个业绩计2分，最高计10分。 注：类似业绩以合同签订时间为准，未提供或不清晰导致无法识别的不予以认可。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磋商响应文件，其磋商报价为有效磋商报价，对其价格（评审价格）进行价格评审。2.满足磋商文件实质性要求且最终报价最低的供应商的价格为磋商基准价，其价格分15分。3.磋商报价得分=（磋商基准价/最终磋商报价）×15的公式计算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详见附件：技术商务部分.docx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