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CEE3E5">
      <w:pPr>
        <w:keepNext w:val="0"/>
        <w:keepLines w:val="0"/>
        <w:pageBreakBefore/>
        <w:widowControl/>
        <w:kinsoku w:val="0"/>
        <w:wordWrap/>
        <w:overflowPunct/>
        <w:topLinePunct w:val="0"/>
        <w:autoSpaceDE w:val="0"/>
        <w:autoSpaceDN w:val="0"/>
        <w:bidi w:val="0"/>
        <w:adjustRightInd w:val="0"/>
        <w:snapToGrid w:val="0"/>
        <w:jc w:val="left"/>
        <w:textAlignment w:val="baseline"/>
        <w:rPr>
          <w:rFonts w:ascii="宋体" w:hAnsi="宋体" w:eastAsia="宋体" w:cs="宋体"/>
          <w:b/>
          <w:bCs/>
          <w:snapToGrid w:val="0"/>
          <w:kern w:val="0"/>
          <w:sz w:val="30"/>
          <w:szCs w:val="30"/>
          <w:u w:val="single"/>
        </w:rPr>
      </w:pPr>
      <w:r>
        <w:rPr>
          <w:rFonts w:hint="eastAsia" w:ascii="宋体" w:hAnsi="宋体" w:eastAsia="宋体" w:cs="宋体"/>
          <w:b/>
          <w:bCs/>
          <w:snapToGrid w:val="0"/>
          <w:kern w:val="0"/>
          <w:sz w:val="30"/>
          <w:szCs w:val="30"/>
        </w:rPr>
        <w:t>政府采购项目</w:t>
      </w:r>
      <w:r>
        <w:rPr>
          <w:rFonts w:hint="eastAsia" w:ascii="宋体" w:hAnsi="宋体" w:eastAsia="等线" w:cs="宋体"/>
          <w:b/>
          <w:bCs/>
          <w:snapToGrid w:val="0"/>
          <w:kern w:val="0"/>
          <w:sz w:val="30"/>
          <w:szCs w:val="30"/>
        </w:rPr>
        <w:t xml:space="preserve">        </w:t>
      </w:r>
      <w:r>
        <w:rPr>
          <w:rFonts w:hint="eastAsia" w:ascii="宋体" w:hAnsi="宋体" w:eastAsia="宋体" w:cs="宋体"/>
          <w:b/>
          <w:bCs/>
          <w:snapToGrid w:val="0"/>
          <w:kern w:val="0"/>
          <w:sz w:val="30"/>
          <w:szCs w:val="30"/>
        </w:rPr>
        <w:t xml:space="preserve">             合同编号：</w:t>
      </w:r>
      <w:r>
        <w:rPr>
          <w:rFonts w:hint="eastAsia" w:ascii="宋体" w:hAnsi="宋体" w:eastAsia="宋体" w:cs="宋体"/>
          <w:b/>
          <w:bCs/>
          <w:sz w:val="30"/>
          <w:szCs w:val="30"/>
          <w:u w:val="single"/>
        </w:rPr>
        <w:t xml:space="preserve">              </w:t>
      </w:r>
    </w:p>
    <w:p w14:paraId="52A40C78">
      <w:pPr>
        <w:spacing w:line="324" w:lineRule="auto"/>
        <w:rPr>
          <w:rFonts w:ascii="Times New Roman" w:hAnsi="宋体" w:eastAsia="宋体" w:cs="宋体"/>
          <w:b/>
          <w:bCs/>
          <w:sz w:val="24"/>
        </w:rPr>
      </w:pPr>
    </w:p>
    <w:p w14:paraId="102E062E">
      <w:pPr>
        <w:spacing w:line="324" w:lineRule="auto"/>
        <w:rPr>
          <w:rFonts w:ascii="Times New Roman" w:hAnsi="宋体" w:eastAsia="宋体" w:cs="宋体"/>
          <w:b/>
          <w:bCs/>
          <w:sz w:val="24"/>
        </w:rPr>
      </w:pPr>
    </w:p>
    <w:p w14:paraId="58CE3C14">
      <w:pPr>
        <w:spacing w:line="324" w:lineRule="auto"/>
        <w:rPr>
          <w:rFonts w:ascii="Times New Roman" w:hAnsi="Times New Roman" w:eastAsia="宋体" w:cs="Times New Roman"/>
          <w:szCs w:val="21"/>
        </w:rPr>
      </w:pPr>
    </w:p>
    <w:p w14:paraId="2E2EEC42">
      <w:pPr>
        <w:rPr>
          <w:rFonts w:ascii="等线" w:hAnsi="等线" w:eastAsia="等线" w:cs="Times New Roman"/>
        </w:rPr>
      </w:pPr>
    </w:p>
    <w:p w14:paraId="2E08DE6B">
      <w:pPr>
        <w:rPr>
          <w:rFonts w:ascii="等线" w:hAnsi="等线" w:eastAsia="等线" w:cs="Times New Roman"/>
        </w:rPr>
      </w:pPr>
    </w:p>
    <w:p w14:paraId="2305CA94">
      <w:pPr>
        <w:widowControl w:val="0"/>
        <w:spacing w:after="120"/>
        <w:jc w:val="both"/>
        <w:rPr>
          <w:rFonts w:ascii="等线" w:hAnsi="等线" w:eastAsia="等线" w:cs="Times New Roman"/>
          <w:kern w:val="2"/>
          <w:sz w:val="21"/>
          <w:szCs w:val="24"/>
          <w:lang w:val="en-US" w:eastAsia="zh-CN" w:bidi="ar-SA"/>
        </w:rPr>
      </w:pPr>
    </w:p>
    <w:p w14:paraId="1340B2E8">
      <w:pPr>
        <w:widowControl w:val="0"/>
        <w:spacing w:after="120"/>
        <w:ind w:hanging="7"/>
        <w:jc w:val="center"/>
        <w:rPr>
          <w:rFonts w:ascii="宋体" w:hAnsi="宋体" w:eastAsia="宋体" w:cs="宋体"/>
          <w:b/>
          <w:bCs/>
          <w:kern w:val="0"/>
          <w:sz w:val="44"/>
          <w:szCs w:val="44"/>
          <w:lang w:val="en-US" w:eastAsia="zh-CN" w:bidi="ar-SA"/>
        </w:rPr>
      </w:pPr>
      <w:r>
        <w:rPr>
          <w:rFonts w:hint="eastAsia" w:ascii="宋体" w:hAnsi="宋体" w:eastAsia="宋体" w:cs="宋体"/>
          <w:b/>
          <w:bCs/>
          <w:kern w:val="0"/>
          <w:sz w:val="44"/>
          <w:szCs w:val="44"/>
          <w:lang w:val="en-US" w:eastAsia="zh-CN" w:bidi="ar-SA"/>
        </w:rPr>
        <w:t>陕西省公路局</w:t>
      </w:r>
      <w:r>
        <w:rPr>
          <w:rFonts w:hint="eastAsia" w:ascii="宋体" w:hAnsi="宋体" w:cs="宋体"/>
          <w:b/>
          <w:bCs/>
          <w:kern w:val="0"/>
          <w:sz w:val="44"/>
          <w:szCs w:val="44"/>
          <w:lang w:val="en-US" w:eastAsia="zh-CN" w:bidi="ar-SA"/>
        </w:rPr>
        <w:t>网络安全等级保护测评</w:t>
      </w:r>
    </w:p>
    <w:p w14:paraId="5A436700">
      <w:pPr>
        <w:widowControl w:val="0"/>
        <w:spacing w:after="120"/>
        <w:ind w:hanging="7"/>
        <w:jc w:val="center"/>
        <w:rPr>
          <w:rFonts w:ascii="宋体" w:hAnsi="宋体" w:eastAsia="宋体" w:cs="宋体"/>
          <w:b/>
          <w:bCs/>
          <w:kern w:val="0"/>
          <w:sz w:val="44"/>
          <w:szCs w:val="44"/>
          <w:lang w:val="en-US" w:eastAsia="zh-CN" w:bidi="ar-SA"/>
        </w:rPr>
      </w:pPr>
      <w:r>
        <w:rPr>
          <w:rFonts w:hint="eastAsia" w:ascii="宋体" w:hAnsi="宋体" w:eastAsia="宋体" w:cs="宋体"/>
          <w:b/>
          <w:bCs/>
          <w:kern w:val="0"/>
          <w:sz w:val="44"/>
          <w:szCs w:val="44"/>
          <w:lang w:val="en-US" w:eastAsia="zh-CN" w:bidi="ar-SA"/>
        </w:rPr>
        <w:t>服务合同</w:t>
      </w:r>
      <w:r>
        <w:rPr>
          <w:rFonts w:hint="eastAsia" w:ascii="宋体" w:hAnsi="宋体" w:cs="宋体"/>
          <w:b/>
          <w:bCs/>
          <w:kern w:val="0"/>
          <w:sz w:val="44"/>
          <w:szCs w:val="44"/>
          <w:lang w:val="en-US" w:eastAsia="zh-CN" w:bidi="ar-SA"/>
        </w:rPr>
        <w:t>（采购包1）</w:t>
      </w:r>
    </w:p>
    <w:p w14:paraId="2080D71C">
      <w:pPr>
        <w:widowControl w:val="0"/>
        <w:spacing w:after="120"/>
        <w:ind w:hanging="7"/>
        <w:jc w:val="center"/>
        <w:outlineLvl w:val="9"/>
        <w:rPr>
          <w:rFonts w:ascii="宋体" w:hAnsi="宋体" w:eastAsia="宋体" w:cs="宋体"/>
          <w:b/>
          <w:bCs/>
          <w:kern w:val="0"/>
          <w:sz w:val="44"/>
          <w:szCs w:val="44"/>
          <w:lang w:val="en-US" w:eastAsia="zh-CN" w:bidi="ar-SA"/>
        </w:rPr>
      </w:pPr>
    </w:p>
    <w:p w14:paraId="44ABA48A">
      <w:pPr>
        <w:spacing w:line="324" w:lineRule="auto"/>
        <w:rPr>
          <w:rFonts w:ascii="Times New Roman" w:hAnsi="宋体" w:eastAsia="宋体" w:cs="宋体"/>
          <w:sz w:val="18"/>
          <w:szCs w:val="21"/>
        </w:rPr>
      </w:pPr>
    </w:p>
    <w:p w14:paraId="60490DD0">
      <w:pPr>
        <w:spacing w:line="324" w:lineRule="auto"/>
        <w:rPr>
          <w:rFonts w:ascii="Times New Roman" w:hAnsi="宋体" w:eastAsia="宋体" w:cs="宋体"/>
          <w:sz w:val="18"/>
          <w:szCs w:val="21"/>
        </w:rPr>
      </w:pPr>
    </w:p>
    <w:p w14:paraId="1891BCA1">
      <w:pPr>
        <w:spacing w:line="324" w:lineRule="auto"/>
        <w:rPr>
          <w:rFonts w:ascii="Times New Roman" w:hAnsi="Times New Roman" w:eastAsia="宋体" w:cs="Times New Roman"/>
          <w:szCs w:val="21"/>
        </w:rPr>
      </w:pPr>
    </w:p>
    <w:p w14:paraId="2872444B">
      <w:pPr>
        <w:spacing w:line="324" w:lineRule="auto"/>
        <w:rPr>
          <w:rFonts w:ascii="Times New Roman" w:hAnsi="Times New Roman" w:eastAsia="宋体" w:cs="Times New Roman"/>
          <w:szCs w:val="21"/>
        </w:rPr>
      </w:pPr>
    </w:p>
    <w:p w14:paraId="11127261">
      <w:pPr>
        <w:spacing w:line="324" w:lineRule="auto"/>
        <w:rPr>
          <w:rFonts w:ascii="Times New Roman" w:hAnsi="宋体" w:eastAsia="宋体" w:cs="宋体"/>
          <w:sz w:val="18"/>
          <w:szCs w:val="21"/>
        </w:rPr>
      </w:pPr>
    </w:p>
    <w:p w14:paraId="51E4CBB3">
      <w:pPr>
        <w:spacing w:line="324" w:lineRule="auto"/>
        <w:rPr>
          <w:rFonts w:ascii="Times New Roman" w:hAnsi="宋体" w:eastAsia="宋体" w:cs="宋体"/>
          <w:sz w:val="18"/>
          <w:szCs w:val="21"/>
        </w:rPr>
      </w:pPr>
    </w:p>
    <w:p w14:paraId="67A7B320">
      <w:pPr>
        <w:spacing w:line="324" w:lineRule="auto"/>
        <w:jc w:val="center"/>
        <w:rPr>
          <w:rFonts w:ascii="Times New Roman" w:hAnsi="宋体" w:eastAsia="宋体" w:cs="宋体"/>
          <w:b/>
          <w:sz w:val="28"/>
          <w:szCs w:val="28"/>
        </w:rPr>
      </w:pPr>
    </w:p>
    <w:p w14:paraId="3F31CBF4">
      <w:pPr>
        <w:spacing w:before="156" w:beforeLines="50" w:line="360" w:lineRule="auto"/>
        <w:rPr>
          <w:rFonts w:ascii="Times New Roman" w:hAnsi="宋体" w:eastAsia="宋体" w:cs="宋体"/>
          <w:bCs/>
          <w:sz w:val="40"/>
          <w:szCs w:val="40"/>
        </w:rPr>
      </w:pPr>
    </w:p>
    <w:p w14:paraId="0898B8F1">
      <w:pPr>
        <w:spacing w:before="156" w:beforeLines="50" w:line="360" w:lineRule="auto"/>
        <w:jc w:val="center"/>
        <w:rPr>
          <w:rFonts w:ascii="Times New Roman" w:hAnsi="宋体" w:eastAsia="宋体" w:cs="宋体"/>
          <w:b/>
          <w:bCs/>
          <w:sz w:val="28"/>
          <w:szCs w:val="28"/>
        </w:rPr>
      </w:pPr>
    </w:p>
    <w:p w14:paraId="6E7E3590">
      <w:pPr>
        <w:widowControl/>
        <w:kinsoku w:val="0"/>
        <w:autoSpaceDE w:val="0"/>
        <w:autoSpaceDN w:val="0"/>
        <w:adjustRightInd w:val="0"/>
        <w:snapToGrid w:val="0"/>
        <w:spacing w:line="360" w:lineRule="auto"/>
        <w:ind w:firstLine="1263" w:firstLineChars="393"/>
        <w:jc w:val="left"/>
        <w:textAlignment w:val="baseline"/>
        <w:rPr>
          <w:rFonts w:ascii="宋体" w:hAnsi="宋体" w:eastAsia="宋体" w:cs="宋体"/>
          <w:b/>
          <w:bCs/>
          <w:snapToGrid w:val="0"/>
          <w:kern w:val="0"/>
          <w:sz w:val="32"/>
          <w:szCs w:val="32"/>
          <w:u w:val="single"/>
        </w:rPr>
      </w:pPr>
      <w:r>
        <w:rPr>
          <w:rFonts w:hint="eastAsia" w:ascii="宋体" w:hAnsi="宋体" w:eastAsia="宋体" w:cs="宋体"/>
          <w:b/>
          <w:bCs/>
          <w:snapToGrid w:val="0"/>
          <w:kern w:val="0"/>
          <w:sz w:val="32"/>
          <w:szCs w:val="32"/>
        </w:rPr>
        <w:t xml:space="preserve">采购人： </w:t>
      </w:r>
      <w:r>
        <w:rPr>
          <w:rFonts w:hint="eastAsia" w:ascii="宋体" w:hAnsi="宋体" w:eastAsia="宋体" w:cs="宋体"/>
          <w:b/>
          <w:bCs/>
          <w:snapToGrid w:val="0"/>
          <w:kern w:val="0"/>
          <w:sz w:val="32"/>
          <w:szCs w:val="32"/>
          <w:u w:val="single"/>
        </w:rPr>
        <w:t xml:space="preserve">  陕西省公路局 </w:t>
      </w:r>
      <w:r>
        <w:rPr>
          <w:rFonts w:ascii="宋体" w:hAnsi="宋体" w:eastAsia="宋体" w:cs="宋体"/>
          <w:b/>
          <w:bCs/>
          <w:snapToGrid w:val="0"/>
          <w:kern w:val="0"/>
          <w:sz w:val="32"/>
          <w:szCs w:val="32"/>
          <w:u w:val="single"/>
        </w:rPr>
        <w:t xml:space="preserve"> </w:t>
      </w:r>
      <w:r>
        <w:rPr>
          <w:rFonts w:hint="eastAsia" w:ascii="宋体" w:hAnsi="宋体" w:eastAsia="宋体" w:cs="宋体"/>
          <w:b/>
          <w:bCs/>
          <w:snapToGrid w:val="0"/>
          <w:kern w:val="0"/>
          <w:sz w:val="32"/>
          <w:szCs w:val="32"/>
          <w:u w:val="single"/>
        </w:rPr>
        <w:t xml:space="preserve">    </w:t>
      </w:r>
    </w:p>
    <w:p w14:paraId="009F8DF5">
      <w:pPr>
        <w:widowControl/>
        <w:kinsoku w:val="0"/>
        <w:autoSpaceDE w:val="0"/>
        <w:autoSpaceDN w:val="0"/>
        <w:adjustRightInd w:val="0"/>
        <w:snapToGrid w:val="0"/>
        <w:spacing w:line="360" w:lineRule="auto"/>
        <w:ind w:firstLine="1263" w:firstLineChars="393"/>
        <w:jc w:val="left"/>
        <w:textAlignment w:val="baseline"/>
        <w:rPr>
          <w:rFonts w:ascii="宋体" w:hAnsi="宋体" w:eastAsia="宋体" w:cs="宋体"/>
          <w:b/>
          <w:bCs/>
          <w:snapToGrid w:val="0"/>
          <w:kern w:val="0"/>
          <w:sz w:val="32"/>
          <w:szCs w:val="32"/>
          <w:u w:val="single"/>
        </w:rPr>
      </w:pPr>
      <w:r>
        <w:rPr>
          <w:rFonts w:hint="eastAsia" w:ascii="宋体" w:hAnsi="宋体" w:eastAsia="宋体" w:cs="宋体"/>
          <w:b/>
          <w:bCs/>
          <w:snapToGrid w:val="0"/>
          <w:kern w:val="0"/>
          <w:sz w:val="32"/>
          <w:szCs w:val="32"/>
        </w:rPr>
        <w:t xml:space="preserve">供应商： </w:t>
      </w:r>
      <w:r>
        <w:rPr>
          <w:rFonts w:hint="eastAsia" w:ascii="宋体" w:hAnsi="宋体" w:eastAsia="宋体" w:cs="宋体"/>
          <w:b/>
          <w:bCs/>
          <w:snapToGrid w:val="0"/>
          <w:kern w:val="0"/>
          <w:sz w:val="32"/>
          <w:szCs w:val="32"/>
          <w:u w:val="single"/>
        </w:rPr>
        <w:t xml:space="preserve">                    </w:t>
      </w:r>
    </w:p>
    <w:p w14:paraId="76E7618F">
      <w:pPr>
        <w:widowControl/>
        <w:kinsoku w:val="0"/>
        <w:autoSpaceDE w:val="0"/>
        <w:autoSpaceDN w:val="0"/>
        <w:adjustRightInd w:val="0"/>
        <w:snapToGrid w:val="0"/>
        <w:spacing w:line="360" w:lineRule="auto"/>
        <w:ind w:firstLine="2866" w:firstLineChars="892"/>
        <w:jc w:val="left"/>
        <w:textAlignment w:val="baseline"/>
        <w:rPr>
          <w:rFonts w:ascii="宋体" w:hAnsi="宋体" w:eastAsia="宋体" w:cs="宋体"/>
          <w:b/>
          <w:bCs/>
          <w:snapToGrid w:val="0"/>
          <w:kern w:val="0"/>
          <w:sz w:val="32"/>
          <w:szCs w:val="32"/>
        </w:rPr>
      </w:pPr>
    </w:p>
    <w:p w14:paraId="097F6329">
      <w:pPr>
        <w:widowControl/>
        <w:kinsoku w:val="0"/>
        <w:autoSpaceDE w:val="0"/>
        <w:autoSpaceDN w:val="0"/>
        <w:adjustRightInd w:val="0"/>
        <w:snapToGrid w:val="0"/>
        <w:spacing w:line="360" w:lineRule="auto"/>
        <w:ind w:firstLine="2866" w:firstLineChars="892"/>
        <w:jc w:val="left"/>
        <w:textAlignment w:val="baseline"/>
        <w:rPr>
          <w:rFonts w:ascii="宋体" w:hAnsi="宋体" w:eastAsia="宋体" w:cs="宋体"/>
          <w:b/>
          <w:bCs/>
          <w:sz w:val="24"/>
        </w:rPr>
      </w:pPr>
      <w:r>
        <w:rPr>
          <w:rFonts w:hint="eastAsia" w:ascii="宋体" w:hAnsi="宋体" w:eastAsia="宋体" w:cs="宋体"/>
          <w:b/>
          <w:bCs/>
          <w:snapToGrid w:val="0"/>
          <w:kern w:val="0"/>
          <w:sz w:val="32"/>
          <w:szCs w:val="32"/>
        </w:rPr>
        <w:t>二〇二六年  月</w:t>
      </w:r>
      <w:r>
        <w:rPr>
          <w:rFonts w:hint="eastAsia" w:ascii="Times New Roman" w:hAnsi="宋体" w:eastAsia="宋体" w:cs="宋体"/>
          <w:b/>
          <w:bCs/>
          <w:sz w:val="28"/>
          <w:szCs w:val="28"/>
        </w:rPr>
        <w:br w:type="page"/>
      </w:r>
    </w:p>
    <w:p w14:paraId="60B84509">
      <w:pPr>
        <w:spacing w:before="156" w:beforeLines="50" w:line="360" w:lineRule="auto"/>
        <w:jc w:val="center"/>
        <w:rPr>
          <w:rFonts w:ascii="仿宋" w:hAnsi="仿宋" w:eastAsia="仿宋" w:cs="仿宋"/>
          <w:b/>
          <w:bCs/>
          <w:sz w:val="36"/>
          <w:szCs w:val="36"/>
        </w:rPr>
      </w:pPr>
      <w:r>
        <w:rPr>
          <w:rFonts w:hint="eastAsia" w:ascii="宋体" w:hAnsi="宋体" w:eastAsia="宋体" w:cs="宋体"/>
          <w:b/>
          <w:bCs/>
          <w:sz w:val="36"/>
          <w:szCs w:val="36"/>
        </w:rPr>
        <w:t>合同协议书</w:t>
      </w:r>
    </w:p>
    <w:p w14:paraId="7A555322">
      <w:pPr>
        <w:spacing w:line="360" w:lineRule="auto"/>
        <w:ind w:firstLine="482" w:firstLineChars="200"/>
        <w:rPr>
          <w:rFonts w:ascii="宋体" w:hAnsi="宋体" w:eastAsia="宋体" w:cs="宋体"/>
          <w:b/>
          <w:bCs/>
          <w:sz w:val="24"/>
        </w:rPr>
      </w:pPr>
    </w:p>
    <w:p w14:paraId="42D7060D">
      <w:pPr>
        <w:spacing w:line="520" w:lineRule="exact"/>
        <w:ind w:firstLine="562" w:firstLineChars="200"/>
        <w:rPr>
          <w:rFonts w:ascii="宋体" w:hAnsi="宋体" w:eastAsia="宋体" w:cs="宋体"/>
          <w:b/>
          <w:bCs/>
          <w:sz w:val="28"/>
          <w:szCs w:val="28"/>
          <w:u w:val="single"/>
        </w:rPr>
      </w:pPr>
      <w:r>
        <w:rPr>
          <w:rFonts w:hint="eastAsia" w:ascii="宋体" w:hAnsi="宋体" w:eastAsia="宋体" w:cs="宋体"/>
          <w:b/>
          <w:bCs/>
          <w:sz w:val="28"/>
          <w:szCs w:val="28"/>
        </w:rPr>
        <w:t>甲方（采购人）：</w:t>
      </w:r>
      <w:r>
        <w:rPr>
          <w:rFonts w:hint="eastAsia" w:ascii="宋体" w:hAnsi="宋体" w:eastAsia="宋体" w:cs="宋体"/>
          <w:b/>
          <w:bCs/>
          <w:sz w:val="28"/>
          <w:szCs w:val="28"/>
          <w:u w:val="single"/>
        </w:rPr>
        <w:t xml:space="preserve">   陕西省公路局                       </w:t>
      </w:r>
    </w:p>
    <w:p w14:paraId="6F722952">
      <w:pPr>
        <w:spacing w:line="520" w:lineRule="exact"/>
        <w:ind w:firstLine="562" w:firstLineChars="200"/>
        <w:rPr>
          <w:rFonts w:ascii="宋体" w:hAnsi="宋体" w:eastAsia="宋体" w:cs="宋体"/>
          <w:b/>
          <w:bCs/>
          <w:sz w:val="28"/>
          <w:szCs w:val="28"/>
          <w:u w:val="single"/>
        </w:rPr>
      </w:pPr>
      <w:r>
        <w:rPr>
          <w:rFonts w:hint="eastAsia" w:ascii="宋体" w:hAnsi="宋体" w:eastAsia="宋体" w:cs="宋体"/>
          <w:b/>
          <w:bCs/>
          <w:sz w:val="28"/>
          <w:szCs w:val="28"/>
        </w:rPr>
        <w:t>乙方（供应商）：</w:t>
      </w:r>
      <w:r>
        <w:rPr>
          <w:rFonts w:hint="eastAsia" w:ascii="宋体" w:hAnsi="宋体" w:eastAsia="宋体" w:cs="宋体"/>
          <w:b/>
          <w:bCs/>
          <w:sz w:val="28"/>
          <w:szCs w:val="28"/>
          <w:u w:val="single"/>
        </w:rPr>
        <w:t xml:space="preserve">                                      </w:t>
      </w:r>
    </w:p>
    <w:p w14:paraId="425EBEF0">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根据《中华人民共和国民法典》</w:t>
      </w:r>
      <w:r>
        <w:rPr>
          <w:rFonts w:hint="eastAsia" w:ascii="宋体" w:hAnsi="宋体" w:eastAsia="宋体" w:cs="等线"/>
          <w:sz w:val="28"/>
          <w:szCs w:val="28"/>
        </w:rPr>
        <w:t>《中华人民共和国政府采购法》</w:t>
      </w:r>
      <w:r>
        <w:rPr>
          <w:rFonts w:hint="eastAsia" w:ascii="宋体" w:hAnsi="宋体" w:eastAsia="宋体" w:cs="宋体"/>
          <w:sz w:val="28"/>
          <w:szCs w:val="28"/>
        </w:rPr>
        <w:t>及其他有关法律、法规，遵循平等、自愿、公平和诚信的原则，双方就下述项目范围与相关服务事项协商一致，订立本合同。</w:t>
      </w:r>
    </w:p>
    <w:p w14:paraId="13E0EE84">
      <w:pPr>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一、项目概况</w:t>
      </w:r>
    </w:p>
    <w:p w14:paraId="3DABB065">
      <w:pPr>
        <w:spacing w:line="520" w:lineRule="exact"/>
        <w:ind w:firstLine="560" w:firstLineChars="200"/>
        <w:rPr>
          <w:rFonts w:ascii="宋体" w:hAnsi="宋体" w:eastAsia="宋体" w:cs="宋体"/>
          <w:sz w:val="28"/>
          <w:szCs w:val="28"/>
          <w:u w:val="single"/>
        </w:rPr>
      </w:pPr>
      <w:r>
        <w:rPr>
          <w:rFonts w:hint="eastAsia" w:ascii="宋体" w:hAnsi="宋体" w:eastAsia="宋体" w:cs="宋体"/>
          <w:sz w:val="28"/>
          <w:szCs w:val="28"/>
        </w:rPr>
        <w:t>（一）项目名称：</w:t>
      </w:r>
      <w:r>
        <w:rPr>
          <w:rFonts w:hint="eastAsia" w:ascii="宋体" w:hAnsi="宋体" w:eastAsia="宋体" w:cs="宋体"/>
          <w:sz w:val="28"/>
          <w:szCs w:val="28"/>
          <w:u w:val="single"/>
        </w:rPr>
        <w:t xml:space="preserve">  陕西省公路局</w:t>
      </w:r>
      <w:r>
        <w:rPr>
          <w:rFonts w:hint="eastAsia" w:ascii="宋体" w:hAnsi="宋体" w:cs="宋体"/>
          <w:sz w:val="28"/>
          <w:szCs w:val="28"/>
          <w:u w:val="single"/>
          <w:lang w:eastAsia="zh-CN"/>
        </w:rPr>
        <w:t>网络安全等级保护测评（</w:t>
      </w:r>
      <w:r>
        <w:rPr>
          <w:rFonts w:hint="eastAsia" w:ascii="宋体" w:hAnsi="宋体" w:cs="宋体"/>
          <w:sz w:val="28"/>
          <w:szCs w:val="28"/>
          <w:u w:val="single"/>
          <w:lang w:val="en-US" w:eastAsia="zh-CN"/>
        </w:rPr>
        <w:t>采购包1</w:t>
      </w:r>
      <w:r>
        <w:rPr>
          <w:rFonts w:hint="eastAsia" w:ascii="宋体" w:hAnsi="宋体" w:cs="宋体"/>
          <w:sz w:val="28"/>
          <w:szCs w:val="28"/>
          <w:u w:val="single"/>
          <w:lang w:eastAsia="zh-CN"/>
        </w:rPr>
        <w:t>）</w:t>
      </w:r>
      <w:r>
        <w:rPr>
          <w:rFonts w:hint="eastAsia" w:ascii="宋体" w:hAnsi="宋体" w:eastAsia="宋体" w:cs="宋体"/>
          <w:sz w:val="28"/>
          <w:szCs w:val="28"/>
          <w:u w:val="single"/>
        </w:rPr>
        <w:t xml:space="preserve">。             </w:t>
      </w:r>
    </w:p>
    <w:p w14:paraId="75E34509">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（二）项目地点：</w:t>
      </w:r>
      <w:r>
        <w:rPr>
          <w:rFonts w:hint="eastAsia" w:ascii="宋体" w:hAnsi="宋体" w:eastAsia="宋体" w:cs="宋体"/>
          <w:sz w:val="28"/>
          <w:szCs w:val="28"/>
          <w:u w:val="single"/>
        </w:rPr>
        <w:t xml:space="preserve">  陕西省公路局指定地点。             </w:t>
      </w:r>
      <w:r>
        <w:rPr>
          <w:rFonts w:ascii="宋体" w:hAnsi="宋体" w:eastAsia="宋体" w:cs="宋体"/>
          <w:sz w:val="28"/>
          <w:szCs w:val="28"/>
          <w:u w:val="single"/>
        </w:rPr>
        <w:t xml:space="preserve"> </w:t>
      </w:r>
      <w:r>
        <w:rPr>
          <w:rFonts w:hint="eastAsia" w:ascii="宋体" w:hAnsi="宋体" w:eastAsia="宋体" w:cs="宋体"/>
          <w:sz w:val="28"/>
          <w:szCs w:val="28"/>
          <w:u w:val="single"/>
        </w:rPr>
        <w:t xml:space="preserve">   </w:t>
      </w:r>
    </w:p>
    <w:p w14:paraId="3224F246">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（三）服务内容：网络安全等级保护测评：对陕西省公路局的2个三级系统、4个二级系统按照等保2.0标准开展等级测评服务，测评完毕出具测评报告（每</w:t>
      </w:r>
      <w:r>
        <w:rPr>
          <w:rFonts w:hint="eastAsia" w:ascii="宋体" w:hAnsi="宋体" w:cs="宋体"/>
          <w:sz w:val="28"/>
          <w:szCs w:val="28"/>
          <w:lang w:val="en-US" w:eastAsia="zh-CN"/>
        </w:rPr>
        <w:t>个</w:t>
      </w:r>
      <w:r>
        <w:rPr>
          <w:rFonts w:hint="eastAsia" w:ascii="宋体" w:hAnsi="宋体" w:eastAsia="宋体" w:cs="宋体"/>
          <w:sz w:val="28"/>
          <w:szCs w:val="28"/>
        </w:rPr>
        <w:t>系统1份），提出整改建议。</w:t>
      </w:r>
    </w:p>
    <w:p w14:paraId="789FFC1F">
      <w:pPr>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二、合同金额</w:t>
      </w:r>
    </w:p>
    <w:p w14:paraId="6201D38F">
      <w:pPr>
        <w:spacing w:line="520" w:lineRule="exact"/>
        <w:ind w:left="839" w:leftChars="266" w:hanging="280" w:hangingChars="100"/>
        <w:jc w:val="left"/>
        <w:rPr>
          <w:rFonts w:ascii="宋体" w:hAnsi="宋体" w:eastAsia="宋体" w:cs="宋体"/>
          <w:sz w:val="28"/>
          <w:szCs w:val="28"/>
        </w:rPr>
      </w:pPr>
      <w:r>
        <w:rPr>
          <w:rFonts w:hint="eastAsia" w:ascii="宋体" w:hAnsi="宋体" w:eastAsia="宋体" w:cs="宋体"/>
          <w:sz w:val="28"/>
          <w:szCs w:val="28"/>
        </w:rPr>
        <w:t>合同总价款(含税价)：</w:t>
      </w:r>
      <w:r>
        <w:rPr>
          <w:rFonts w:hint="eastAsia" w:ascii="宋体" w:hAnsi="宋体" w:eastAsia="宋体" w:cs="宋体"/>
          <w:sz w:val="28"/>
          <w:szCs w:val="28"/>
          <w:u w:val="single"/>
        </w:rPr>
        <w:t xml:space="preserve">                (¥          </w:t>
      </w:r>
      <w:r>
        <w:rPr>
          <w:rFonts w:hint="eastAsia" w:ascii="宋体" w:hAnsi="宋体" w:eastAsia="宋体" w:cs="宋体"/>
          <w:sz w:val="28"/>
          <w:szCs w:val="28"/>
        </w:rPr>
        <w:t>元)。</w:t>
      </w:r>
    </w:p>
    <w:p w14:paraId="1421A5EB">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合同价格为含税价，乙方报价包含完成本项目所需的全部费用（包括但不限于劳务费、国家按现行税收政策征收的一切税、服务费、分析报告出具费用等一切费用），甲方无需再向乙方支付其他任何费用。</w:t>
      </w:r>
    </w:p>
    <w:p w14:paraId="00D22BE7">
      <w:pPr>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三、服务期限</w:t>
      </w:r>
    </w:p>
    <w:p w14:paraId="353B2192">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合同服务期为合同签订之日起【1年】。</w:t>
      </w:r>
    </w:p>
    <w:p w14:paraId="24A94229">
      <w:pPr>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四、结算方式</w:t>
      </w:r>
    </w:p>
    <w:p w14:paraId="131CE946">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（一）结算单位：</w:t>
      </w:r>
    </w:p>
    <w:p w14:paraId="7F67A94D">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由甲方负责结算。费用结算采用银行转账方式，分期付款。乙方应在甲方每次付款前，按照甲方要求的发票类型和金额，向甲方开具合法有效的发票，税费由乙方承担。否则，甲方有权拒绝付款且不承担迟延支付的违约责任。</w:t>
      </w:r>
    </w:p>
    <w:p w14:paraId="0A312D71">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（二）付款方式：</w:t>
      </w:r>
    </w:p>
    <w:p w14:paraId="7743D0D9">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1.合同签订后，甲方收到乙方缴纳的履约保证金及开具的等额增值税普通发票之日起二十个工作日内，向乙方支付合同总金额的60%款项</w:t>
      </w:r>
      <w:r>
        <w:rPr>
          <w:rFonts w:ascii="宋体" w:hAnsi="宋体" w:eastAsia="宋体" w:cs="宋体"/>
          <w:sz w:val="28"/>
          <w:szCs w:val="28"/>
        </w:rPr>
        <w:t>，共计：</w:t>
      </w:r>
      <w:r>
        <w:rPr>
          <w:rFonts w:ascii="宋体" w:hAnsi="宋体" w:eastAsia="宋体" w:cs="宋体"/>
          <w:sz w:val="28"/>
          <w:szCs w:val="28"/>
          <w:u w:val="single"/>
        </w:rPr>
        <w:t>人民币     （¥          元）</w:t>
      </w:r>
      <w:r>
        <w:rPr>
          <w:rFonts w:ascii="宋体" w:hAnsi="宋体" w:eastAsia="宋体" w:cs="宋体"/>
          <w:sz w:val="28"/>
          <w:szCs w:val="28"/>
        </w:rPr>
        <w:t>。</w:t>
      </w:r>
      <w:r>
        <w:rPr>
          <w:rFonts w:hint="eastAsia" w:ascii="宋体" w:hAnsi="宋体" w:eastAsia="宋体" w:cs="宋体"/>
          <w:sz w:val="28"/>
          <w:szCs w:val="28"/>
        </w:rPr>
        <w:t>提交测评报告经甲方审核通过后，乙方向甲方提供等额增值税普通发票，甲方收到符合要求的发票后支付剩余合同总金额的40%款项</w:t>
      </w:r>
      <w:r>
        <w:rPr>
          <w:rFonts w:ascii="宋体" w:hAnsi="宋体" w:eastAsia="宋体" w:cs="宋体"/>
          <w:sz w:val="28"/>
          <w:szCs w:val="28"/>
        </w:rPr>
        <w:t>，共计</w:t>
      </w:r>
      <w:r>
        <w:rPr>
          <w:rFonts w:hint="eastAsia" w:ascii="宋体" w:hAnsi="宋体" w:eastAsia="宋体" w:cs="宋体"/>
          <w:sz w:val="28"/>
          <w:szCs w:val="28"/>
        </w:rPr>
        <w:t>：</w:t>
      </w:r>
      <w:r>
        <w:rPr>
          <w:rFonts w:ascii="宋体" w:hAnsi="宋体" w:eastAsia="宋体" w:cs="宋体"/>
          <w:sz w:val="28"/>
          <w:szCs w:val="28"/>
          <w:u w:val="single"/>
        </w:rPr>
        <w:t>人民币</w:t>
      </w:r>
      <w:r>
        <w:rPr>
          <w:rFonts w:hint="eastAsia" w:ascii="宋体" w:hAnsi="宋体" w:eastAsia="宋体" w:cs="宋体"/>
          <w:sz w:val="28"/>
          <w:szCs w:val="28"/>
          <w:u w:val="single"/>
        </w:rPr>
        <w:t xml:space="preserve"> </w:t>
      </w:r>
      <w:r>
        <w:rPr>
          <w:rFonts w:ascii="宋体" w:hAnsi="宋体" w:eastAsia="宋体" w:cs="宋体"/>
          <w:sz w:val="28"/>
          <w:szCs w:val="28"/>
          <w:u w:val="single"/>
        </w:rPr>
        <w:t xml:space="preserve">    （¥          元）</w:t>
      </w:r>
      <w:r>
        <w:rPr>
          <w:rFonts w:ascii="宋体" w:hAnsi="宋体" w:eastAsia="宋体" w:cs="宋体"/>
          <w:sz w:val="28"/>
          <w:szCs w:val="28"/>
        </w:rPr>
        <w:t>。</w:t>
      </w:r>
    </w:p>
    <w:p w14:paraId="43C549CA">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2.合同签订前，乙方须向甲方缴纳合同总金额5%的履约保证金，履约保证金待乙方履行完全部合同义务，并经甲方验收合格且无任何纠纷后无息退还。</w:t>
      </w:r>
    </w:p>
    <w:p w14:paraId="0DFD88E4">
      <w:pPr>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五、主要工作内容</w:t>
      </w:r>
    </w:p>
    <w:p w14:paraId="17B38136">
      <w:pPr>
        <w:spacing w:line="520" w:lineRule="exact"/>
        <w:ind w:firstLine="560" w:firstLineChars="200"/>
        <w:rPr>
          <w:rFonts w:ascii="宋体" w:hAnsi="宋体" w:eastAsia="宋体" w:cs="宋体"/>
          <w:bCs/>
          <w:sz w:val="28"/>
          <w:szCs w:val="28"/>
        </w:rPr>
      </w:pPr>
      <w:r>
        <w:rPr>
          <w:rFonts w:hint="eastAsia" w:ascii="宋体" w:hAnsi="宋体" w:eastAsia="宋体" w:cs="宋体"/>
          <w:bCs/>
          <w:sz w:val="28"/>
          <w:szCs w:val="28"/>
        </w:rPr>
        <w:t>（一）服务内容</w:t>
      </w:r>
    </w:p>
    <w:p w14:paraId="3449B6EB">
      <w:pPr>
        <w:spacing w:line="520" w:lineRule="exact"/>
        <w:ind w:firstLine="560" w:firstLineChars="200"/>
        <w:rPr>
          <w:rFonts w:ascii="宋体" w:hAnsi="宋体" w:eastAsia="宋体" w:cs="宋体"/>
          <w:bCs/>
          <w:sz w:val="28"/>
          <w:szCs w:val="28"/>
        </w:rPr>
      </w:pPr>
      <w:r>
        <w:rPr>
          <w:rFonts w:hint="eastAsia" w:ascii="宋体" w:hAnsi="宋体" w:eastAsia="宋体" w:cs="宋体"/>
          <w:bCs/>
          <w:sz w:val="28"/>
          <w:szCs w:val="28"/>
        </w:rPr>
        <w:t>对陕西省公路局的2个三级系统、4个二级系统按照等保2.0标准开展等级测评服务，测评完毕出具测评报告（每</w:t>
      </w:r>
      <w:r>
        <w:rPr>
          <w:rFonts w:hint="eastAsia" w:ascii="宋体" w:hAnsi="宋体" w:cs="宋体"/>
          <w:bCs/>
          <w:sz w:val="28"/>
          <w:szCs w:val="28"/>
          <w:lang w:val="en-US" w:eastAsia="zh-CN"/>
        </w:rPr>
        <w:t>个</w:t>
      </w:r>
      <w:r>
        <w:rPr>
          <w:rFonts w:hint="eastAsia" w:ascii="宋体" w:hAnsi="宋体" w:eastAsia="宋体" w:cs="宋体"/>
          <w:bCs/>
          <w:sz w:val="28"/>
          <w:szCs w:val="28"/>
        </w:rPr>
        <w:t>系统1份），提出整改建议。</w:t>
      </w:r>
    </w:p>
    <w:p w14:paraId="52F4F01D">
      <w:pPr>
        <w:spacing w:line="520" w:lineRule="exact"/>
        <w:ind w:firstLine="560" w:firstLineChars="200"/>
        <w:rPr>
          <w:rFonts w:ascii="宋体" w:hAnsi="宋体" w:eastAsia="宋体" w:cs="宋体"/>
          <w:bCs/>
          <w:sz w:val="28"/>
          <w:szCs w:val="28"/>
        </w:rPr>
      </w:pPr>
      <w:r>
        <w:rPr>
          <w:rFonts w:hint="eastAsia" w:ascii="宋体" w:hAnsi="宋体" w:eastAsia="宋体" w:cs="宋体"/>
          <w:bCs/>
          <w:sz w:val="28"/>
          <w:szCs w:val="28"/>
        </w:rPr>
        <w:t>（二）服务要求</w:t>
      </w:r>
    </w:p>
    <w:p w14:paraId="71C61ED4">
      <w:pPr>
        <w:spacing w:line="520" w:lineRule="exact"/>
        <w:ind w:firstLine="560" w:firstLineChars="200"/>
        <w:rPr>
          <w:rFonts w:hint="eastAsia" w:ascii="宋体" w:hAnsi="宋体" w:eastAsia="宋体" w:cs="宋体"/>
          <w:bCs/>
          <w:sz w:val="28"/>
          <w:szCs w:val="28"/>
        </w:rPr>
      </w:pPr>
      <w:r>
        <w:rPr>
          <w:rFonts w:hint="eastAsia" w:ascii="宋体" w:hAnsi="宋体" w:eastAsia="宋体" w:cs="宋体"/>
          <w:bCs/>
          <w:sz w:val="28"/>
          <w:szCs w:val="28"/>
        </w:rPr>
        <w:t>（1）测评服务要求：依据《基本要求》（GB/T 22239-2019）、测评要求》（GB/T 28448-2019）和《测评过程指南》（GB/T 28449-2018）等国家关于网络安全等级保护2.0的相关标准和规范要求，为被测评单位提供相应级别信息系统等级保护测评实施工作，包括物理安全、网络安全、主机安全、应用安全、数据安全、安全管理机构、安全管理制度、人员管理安全、系统建设管理和系统运维管理等。</w:t>
      </w:r>
    </w:p>
    <w:p w14:paraId="72C0AE1E">
      <w:pPr>
        <w:spacing w:line="520" w:lineRule="exact"/>
        <w:ind w:firstLine="560" w:firstLineChars="200"/>
        <w:rPr>
          <w:rFonts w:hint="eastAsia" w:ascii="宋体" w:hAnsi="宋体" w:eastAsia="宋体" w:cs="宋体"/>
          <w:bCs/>
          <w:sz w:val="28"/>
          <w:szCs w:val="28"/>
        </w:rPr>
      </w:pPr>
      <w:r>
        <w:rPr>
          <w:rFonts w:hint="eastAsia" w:ascii="宋体" w:hAnsi="宋体" w:eastAsia="宋体" w:cs="宋体"/>
          <w:bCs/>
          <w:sz w:val="28"/>
          <w:szCs w:val="28"/>
        </w:rPr>
        <w:t>（2）渗透测试服务要求：通过模拟恶意黑客的攻击方法，来对计算机网络的安全性进行检测评估的过程。对系统和网络进行非破坏性质的攻击性测试，尝试侵入系统，获取系统控制权并将入侵的过程和细节产生报告给用户，由此证实用户系统所存在的安全威胁和风险，及时提示开发人员修复安全漏洞，提醒安全管理员完善安全策略，提升系统安全防护能力。通过这种方法，可以发现系统面临和暴露的安全问题，同时渗透测试也是对安全措施有效性的重要验证。</w:t>
      </w:r>
    </w:p>
    <w:p w14:paraId="62A9DA87">
      <w:pPr>
        <w:spacing w:line="520" w:lineRule="exact"/>
        <w:ind w:firstLine="560" w:firstLineChars="200"/>
        <w:rPr>
          <w:rFonts w:hint="eastAsia" w:ascii="宋体" w:hAnsi="宋体" w:eastAsia="宋体" w:cs="宋体"/>
          <w:bCs/>
          <w:sz w:val="28"/>
          <w:szCs w:val="28"/>
        </w:rPr>
      </w:pPr>
      <w:r>
        <w:rPr>
          <w:rFonts w:hint="eastAsia" w:ascii="宋体" w:hAnsi="宋体" w:eastAsia="宋体" w:cs="宋体"/>
          <w:bCs/>
          <w:sz w:val="28"/>
          <w:szCs w:val="28"/>
        </w:rPr>
        <w:t>（3）安全需求分析及设计服务要求：为保障采购单位重要信息系统的安全防护能力，</w:t>
      </w:r>
      <w:r>
        <w:rPr>
          <w:rFonts w:hint="eastAsia" w:ascii="宋体" w:hAnsi="宋体" w:cs="宋体"/>
          <w:bCs/>
          <w:sz w:val="28"/>
          <w:szCs w:val="28"/>
          <w:lang w:eastAsia="zh-CN"/>
        </w:rPr>
        <w:t>供应商</w:t>
      </w:r>
      <w:r>
        <w:rPr>
          <w:rFonts w:hint="eastAsia" w:ascii="宋体" w:hAnsi="宋体" w:eastAsia="宋体" w:cs="宋体"/>
          <w:bCs/>
          <w:sz w:val="28"/>
          <w:szCs w:val="28"/>
        </w:rPr>
        <w:t>需对其信息系统提供安全需求分析，并且能对采购单位的信息系统做安全方案设计，提出有针对性的安全规划方案。</w:t>
      </w:r>
    </w:p>
    <w:p w14:paraId="7BDC76D6">
      <w:pPr>
        <w:spacing w:line="520" w:lineRule="exact"/>
        <w:ind w:firstLine="560" w:firstLineChars="200"/>
        <w:rPr>
          <w:rFonts w:hint="eastAsia" w:ascii="宋体" w:hAnsi="宋体" w:eastAsia="宋体" w:cs="宋体"/>
          <w:bCs/>
          <w:sz w:val="28"/>
          <w:szCs w:val="28"/>
        </w:rPr>
      </w:pPr>
      <w:r>
        <w:rPr>
          <w:rFonts w:hint="eastAsia" w:ascii="宋体" w:hAnsi="宋体" w:eastAsia="宋体" w:cs="宋体"/>
          <w:bCs/>
          <w:sz w:val="28"/>
          <w:szCs w:val="28"/>
        </w:rPr>
        <w:t>（4）培训要求：</w:t>
      </w:r>
      <w:r>
        <w:rPr>
          <w:rFonts w:hint="eastAsia" w:ascii="宋体" w:hAnsi="宋体" w:cs="宋体"/>
          <w:bCs/>
          <w:sz w:val="28"/>
          <w:szCs w:val="28"/>
          <w:lang w:eastAsia="zh-CN"/>
        </w:rPr>
        <w:t>供应商</w:t>
      </w:r>
      <w:r>
        <w:rPr>
          <w:rFonts w:hint="eastAsia" w:ascii="宋体" w:hAnsi="宋体" w:eastAsia="宋体" w:cs="宋体"/>
          <w:bCs/>
          <w:sz w:val="28"/>
          <w:szCs w:val="28"/>
        </w:rPr>
        <w:t>在项目实施结束后，要为采购单位提供信息安全相关培训。</w:t>
      </w:r>
    </w:p>
    <w:p w14:paraId="48077E3B">
      <w:pPr>
        <w:spacing w:line="520" w:lineRule="exact"/>
        <w:ind w:firstLine="560" w:firstLineChars="200"/>
        <w:rPr>
          <w:rFonts w:hint="eastAsia" w:ascii="宋体" w:hAnsi="宋体" w:eastAsia="宋体" w:cs="宋体"/>
          <w:bCs/>
          <w:sz w:val="28"/>
          <w:szCs w:val="28"/>
        </w:rPr>
      </w:pPr>
      <w:r>
        <w:rPr>
          <w:rFonts w:hint="eastAsia" w:ascii="宋体" w:hAnsi="宋体" w:eastAsia="宋体" w:cs="宋体"/>
          <w:bCs/>
          <w:sz w:val="28"/>
          <w:szCs w:val="28"/>
        </w:rPr>
        <w:t>（5）应急响应及应急处理要求：</w:t>
      </w:r>
      <w:r>
        <w:rPr>
          <w:rFonts w:hint="eastAsia" w:ascii="宋体" w:hAnsi="宋体" w:cs="宋体"/>
          <w:bCs/>
          <w:sz w:val="28"/>
          <w:szCs w:val="28"/>
          <w:lang w:eastAsia="zh-CN"/>
        </w:rPr>
        <w:t>供应商</w:t>
      </w:r>
      <w:r>
        <w:rPr>
          <w:rFonts w:hint="eastAsia" w:ascii="宋体" w:hAnsi="宋体" w:eastAsia="宋体" w:cs="宋体"/>
          <w:bCs/>
          <w:sz w:val="28"/>
          <w:szCs w:val="28"/>
        </w:rPr>
        <w:t>在测评项目结束后，要提供至少自合同签订之日起一年的信息安全应急处理保障，一旦采购单位出现任何安全事件，</w:t>
      </w:r>
      <w:r>
        <w:rPr>
          <w:rFonts w:hint="eastAsia" w:ascii="宋体" w:hAnsi="宋体" w:cs="宋体"/>
          <w:bCs/>
          <w:sz w:val="28"/>
          <w:szCs w:val="28"/>
          <w:lang w:eastAsia="zh-CN"/>
        </w:rPr>
        <w:t>供应商</w:t>
      </w:r>
      <w:r>
        <w:rPr>
          <w:rFonts w:hint="eastAsia" w:ascii="宋体" w:hAnsi="宋体" w:eastAsia="宋体" w:cs="宋体"/>
          <w:bCs/>
          <w:sz w:val="28"/>
          <w:szCs w:val="28"/>
        </w:rPr>
        <w:t>必须提供完善高效的应急保障支撑，快速安排人员到场处理，本要求要在响应文件做出响应说明，详细说明响应的时间等。</w:t>
      </w:r>
    </w:p>
    <w:p w14:paraId="12E811AA">
      <w:pPr>
        <w:spacing w:line="520" w:lineRule="exact"/>
        <w:ind w:firstLine="560" w:firstLineChars="200"/>
        <w:rPr>
          <w:rFonts w:hint="eastAsia" w:ascii="宋体" w:hAnsi="宋体" w:eastAsia="宋体" w:cs="宋体"/>
          <w:bCs/>
          <w:sz w:val="28"/>
          <w:szCs w:val="28"/>
        </w:rPr>
      </w:pPr>
      <w:r>
        <w:rPr>
          <w:rFonts w:hint="eastAsia" w:ascii="宋体" w:hAnsi="宋体" w:eastAsia="宋体" w:cs="宋体"/>
          <w:bCs/>
          <w:sz w:val="28"/>
          <w:szCs w:val="28"/>
        </w:rPr>
        <w:t>（6）安全咨询服务：</w:t>
      </w:r>
      <w:r>
        <w:rPr>
          <w:rFonts w:hint="eastAsia" w:ascii="宋体" w:hAnsi="宋体" w:cs="宋体"/>
          <w:bCs/>
          <w:sz w:val="28"/>
          <w:szCs w:val="28"/>
          <w:lang w:eastAsia="zh-CN"/>
        </w:rPr>
        <w:t>供应商</w:t>
      </w:r>
      <w:r>
        <w:rPr>
          <w:rFonts w:hint="eastAsia" w:ascii="宋体" w:hAnsi="宋体" w:eastAsia="宋体" w:cs="宋体"/>
          <w:bCs/>
          <w:sz w:val="28"/>
          <w:szCs w:val="28"/>
        </w:rPr>
        <w:t>在测评项目结束后，要提供至少自合同签订之日起一年的安全咨询服务，包括但不限于安全技术咨询、安全整改建设咨询、管理制度及国家法规等，</w:t>
      </w:r>
      <w:r>
        <w:rPr>
          <w:rFonts w:hint="eastAsia" w:ascii="宋体" w:hAnsi="宋体" w:cs="宋体"/>
          <w:bCs/>
          <w:sz w:val="28"/>
          <w:szCs w:val="28"/>
          <w:lang w:eastAsia="zh-CN"/>
        </w:rPr>
        <w:t>供应商</w:t>
      </w:r>
      <w:r>
        <w:rPr>
          <w:rFonts w:hint="eastAsia" w:ascii="宋体" w:hAnsi="宋体" w:eastAsia="宋体" w:cs="宋体"/>
          <w:bCs/>
          <w:sz w:val="28"/>
          <w:szCs w:val="28"/>
        </w:rPr>
        <w:t>需提供咨询建议和方案建议。</w:t>
      </w:r>
    </w:p>
    <w:p w14:paraId="6F78E536">
      <w:pPr>
        <w:spacing w:line="520" w:lineRule="exact"/>
        <w:ind w:firstLine="560" w:firstLineChars="200"/>
        <w:rPr>
          <w:rFonts w:hint="eastAsia" w:ascii="宋体" w:hAnsi="宋体" w:eastAsia="宋体" w:cs="宋体"/>
          <w:bCs/>
          <w:sz w:val="28"/>
          <w:szCs w:val="28"/>
        </w:rPr>
      </w:pPr>
      <w:r>
        <w:rPr>
          <w:rFonts w:hint="eastAsia" w:ascii="宋体" w:hAnsi="宋体" w:eastAsia="宋体" w:cs="宋体"/>
          <w:bCs/>
          <w:sz w:val="28"/>
          <w:szCs w:val="28"/>
        </w:rPr>
        <w:t>（7）保密要求</w:t>
      </w:r>
      <w:r>
        <w:rPr>
          <w:rFonts w:hint="eastAsia" w:ascii="宋体" w:hAnsi="宋体" w:cs="宋体"/>
          <w:bCs/>
          <w:sz w:val="28"/>
          <w:szCs w:val="28"/>
          <w:lang w:eastAsia="zh-CN"/>
        </w:rPr>
        <w:t>：供应商</w:t>
      </w:r>
      <w:r>
        <w:rPr>
          <w:rFonts w:hint="eastAsia" w:ascii="宋体" w:hAnsi="宋体" w:eastAsia="宋体" w:cs="宋体"/>
          <w:bCs/>
          <w:sz w:val="28"/>
          <w:szCs w:val="28"/>
        </w:rPr>
        <w:t>对工作中了解到的陕西省公路局的技术和数据等信息进行严格保密，不得向他人泄漏。服务期结束之日起30个工作日内，</w:t>
      </w:r>
      <w:r>
        <w:rPr>
          <w:rFonts w:hint="eastAsia" w:ascii="宋体" w:hAnsi="宋体" w:cs="宋体"/>
          <w:bCs/>
          <w:sz w:val="28"/>
          <w:szCs w:val="28"/>
          <w:lang w:eastAsia="zh-CN"/>
        </w:rPr>
        <w:t>供应商</w:t>
      </w:r>
      <w:r>
        <w:rPr>
          <w:rFonts w:hint="eastAsia" w:ascii="宋体" w:hAnsi="宋体" w:eastAsia="宋体" w:cs="宋体"/>
          <w:bCs/>
          <w:sz w:val="28"/>
          <w:szCs w:val="28"/>
        </w:rPr>
        <w:t>应删除本项目服务过程中产生的全部信息和数据。</w:t>
      </w:r>
    </w:p>
    <w:p w14:paraId="5F56F09D">
      <w:pPr>
        <w:spacing w:line="520" w:lineRule="exact"/>
        <w:ind w:firstLine="560" w:firstLineChars="200"/>
        <w:rPr>
          <w:rFonts w:hint="eastAsia" w:ascii="宋体" w:hAnsi="宋体" w:eastAsia="宋体" w:cs="宋体"/>
          <w:bCs/>
          <w:sz w:val="28"/>
          <w:szCs w:val="28"/>
        </w:rPr>
      </w:pPr>
      <w:r>
        <w:rPr>
          <w:rFonts w:hint="eastAsia" w:ascii="宋体" w:hAnsi="宋体" w:eastAsia="宋体" w:cs="宋体"/>
          <w:bCs/>
          <w:sz w:val="28"/>
          <w:szCs w:val="28"/>
        </w:rPr>
        <w:t>3.服务总体要求：</w:t>
      </w:r>
    </w:p>
    <w:p w14:paraId="0C827700">
      <w:pPr>
        <w:spacing w:line="520" w:lineRule="exact"/>
        <w:ind w:firstLine="560" w:firstLineChars="200"/>
        <w:rPr>
          <w:rFonts w:ascii="宋体" w:hAnsi="宋体" w:eastAsia="宋体" w:cs="宋体"/>
          <w:bCs/>
          <w:sz w:val="28"/>
          <w:szCs w:val="28"/>
        </w:rPr>
      </w:pPr>
      <w:r>
        <w:rPr>
          <w:rFonts w:hint="eastAsia" w:ascii="宋体" w:hAnsi="宋体" w:eastAsia="宋体" w:cs="宋体"/>
          <w:bCs/>
          <w:sz w:val="28"/>
          <w:szCs w:val="28"/>
        </w:rPr>
        <w:t>信息安全等级保护测评工作的流程如下图所示，在开展信息安全等级保护测评工作过程中要求严格遵循如下流程：</w:t>
      </w:r>
    </w:p>
    <w:p w14:paraId="34E5FA9D">
      <w:pPr>
        <w:spacing w:line="240" w:lineRule="auto"/>
        <w:rPr>
          <w:rFonts w:hint="eastAsia" w:ascii="宋体" w:hAnsi="宋体" w:eastAsia="宋体" w:cs="宋体"/>
          <w:bCs/>
          <w:sz w:val="28"/>
          <w:szCs w:val="28"/>
          <w:lang w:eastAsia="zh-CN"/>
        </w:rPr>
      </w:pPr>
      <w:r>
        <w:rPr>
          <w:rFonts w:hint="eastAsia" w:ascii="宋体" w:hAnsi="宋体" w:eastAsia="宋体" w:cs="宋体"/>
          <w:bCs/>
          <w:sz w:val="28"/>
          <w:szCs w:val="28"/>
          <w:lang w:eastAsia="zh-CN"/>
        </w:rPr>
        <w:drawing>
          <wp:inline distT="0" distB="0" distL="114300" distR="114300">
            <wp:extent cx="5154295" cy="7568565"/>
            <wp:effectExtent l="0" t="0" r="8255" b="0"/>
            <wp:docPr id="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4"/>
                    <a:stretch>
                      <a:fillRect/>
                    </a:stretch>
                  </pic:blipFill>
                  <pic:spPr>
                    <a:xfrm>
                      <a:off x="0" y="0"/>
                      <a:ext cx="5154295" cy="7568565"/>
                    </a:xfrm>
                    <a:prstGeom prst="rect">
                      <a:avLst/>
                    </a:prstGeom>
                    <a:noFill/>
                    <a:ln>
                      <a:noFill/>
                    </a:ln>
                  </pic:spPr>
                </pic:pic>
              </a:graphicData>
            </a:graphic>
          </wp:inline>
        </w:drawing>
      </w:r>
    </w:p>
    <w:p w14:paraId="6FED23E4">
      <w:pPr>
        <w:spacing w:line="520" w:lineRule="exact"/>
        <w:rPr>
          <w:rFonts w:hint="eastAsia" w:ascii="宋体" w:hAnsi="宋体" w:eastAsia="宋体" w:cs="宋体"/>
          <w:bCs/>
          <w:sz w:val="28"/>
          <w:szCs w:val="28"/>
          <w:lang w:val="zh-CN" w:eastAsia="zh-CN"/>
        </w:rPr>
      </w:pPr>
      <w:r>
        <w:rPr>
          <w:rFonts w:hint="eastAsia" w:ascii="宋体" w:hAnsi="宋体" w:eastAsia="宋体" w:cs="宋体"/>
          <w:bCs/>
          <w:sz w:val="28"/>
          <w:szCs w:val="28"/>
        </w:rPr>
        <w:br w:type="page"/>
      </w:r>
      <w:r>
        <w:rPr>
          <w:rFonts w:hint="eastAsia" w:ascii="宋体" w:hAnsi="宋体" w:eastAsia="宋体" w:cs="宋体"/>
          <w:bCs/>
          <w:sz w:val="28"/>
          <w:szCs w:val="28"/>
          <w:lang w:val="zh-CN" w:eastAsia="zh-CN"/>
        </w:rPr>
        <w:t>（1）测评准备活动</w:t>
      </w:r>
    </w:p>
    <w:p w14:paraId="2E5BA59A">
      <w:pPr>
        <w:spacing w:line="520" w:lineRule="exact"/>
        <w:ind w:firstLine="560" w:firstLineChars="200"/>
        <w:rPr>
          <w:rFonts w:hint="eastAsia" w:ascii="宋体" w:hAnsi="宋体" w:eastAsia="宋体" w:cs="宋体"/>
          <w:bCs/>
          <w:sz w:val="28"/>
          <w:szCs w:val="28"/>
          <w:lang w:val="zh-CN" w:eastAsia="zh-CN"/>
        </w:rPr>
      </w:pPr>
      <w:r>
        <w:rPr>
          <w:rFonts w:hint="eastAsia" w:ascii="宋体" w:hAnsi="宋体" w:eastAsia="宋体" w:cs="宋体"/>
          <w:bCs/>
          <w:sz w:val="28"/>
          <w:szCs w:val="28"/>
          <w:lang w:val="zh-CN" w:eastAsia="zh-CN"/>
        </w:rPr>
        <w:t>本活动是开展等级测评工作的前提和基础，是整个等级测评过程有效性的保证。测评准备工作是否充分直接关系到后续工作能否顺利开展。本活动的主要任务是掌握被测评系统的详细情况，准备测评工具，为编制测评方案做好准备。</w:t>
      </w:r>
    </w:p>
    <w:p w14:paraId="3C9A28C0">
      <w:pPr>
        <w:spacing w:line="520" w:lineRule="exact"/>
        <w:ind w:firstLine="560" w:firstLineChars="200"/>
        <w:rPr>
          <w:rFonts w:hint="eastAsia" w:ascii="宋体" w:hAnsi="宋体" w:eastAsia="宋体" w:cs="宋体"/>
          <w:bCs/>
          <w:sz w:val="28"/>
          <w:szCs w:val="28"/>
          <w:lang w:val="zh-CN" w:eastAsia="zh-CN"/>
        </w:rPr>
      </w:pPr>
      <w:r>
        <w:rPr>
          <w:rFonts w:hint="eastAsia" w:ascii="宋体" w:hAnsi="宋体" w:eastAsia="宋体" w:cs="宋体"/>
          <w:bCs/>
          <w:sz w:val="28"/>
          <w:szCs w:val="28"/>
          <w:lang w:val="zh-CN" w:eastAsia="zh-CN"/>
        </w:rPr>
        <w:t>（2）方案编制活动</w:t>
      </w:r>
    </w:p>
    <w:p w14:paraId="4CAAEEB7">
      <w:pPr>
        <w:spacing w:line="520" w:lineRule="exact"/>
        <w:ind w:firstLine="560" w:firstLineChars="200"/>
        <w:rPr>
          <w:rFonts w:hint="eastAsia" w:ascii="宋体" w:hAnsi="宋体" w:eastAsia="宋体" w:cs="宋体"/>
          <w:bCs/>
          <w:sz w:val="28"/>
          <w:szCs w:val="28"/>
          <w:lang w:val="zh-CN" w:eastAsia="zh-CN"/>
        </w:rPr>
      </w:pPr>
      <w:r>
        <w:rPr>
          <w:rFonts w:hint="eastAsia" w:ascii="宋体" w:hAnsi="宋体" w:eastAsia="宋体" w:cs="宋体"/>
          <w:bCs/>
          <w:sz w:val="28"/>
          <w:szCs w:val="28"/>
          <w:lang w:val="zh-CN" w:eastAsia="zh-CN"/>
        </w:rPr>
        <w:t>本活动是开展等级测评工作的关键活动，为现场测评提供最基本的文档和指导方案。本活动的主要任务是确定与被测评信息系统相适应的测评对象、测评指标及测评内容等，并根据需要开发测评指导书，形成测评方案。</w:t>
      </w:r>
    </w:p>
    <w:p w14:paraId="2529E5C3">
      <w:pPr>
        <w:spacing w:line="520" w:lineRule="exact"/>
        <w:ind w:firstLine="560" w:firstLineChars="200"/>
        <w:rPr>
          <w:rFonts w:hint="eastAsia" w:ascii="宋体" w:hAnsi="宋体" w:eastAsia="宋体" w:cs="宋体"/>
          <w:bCs/>
          <w:sz w:val="28"/>
          <w:szCs w:val="28"/>
          <w:lang w:val="zh-CN" w:eastAsia="zh-CN"/>
        </w:rPr>
      </w:pPr>
      <w:r>
        <w:rPr>
          <w:rFonts w:hint="eastAsia" w:ascii="宋体" w:hAnsi="宋体" w:eastAsia="宋体" w:cs="宋体"/>
          <w:bCs/>
          <w:sz w:val="28"/>
          <w:szCs w:val="28"/>
          <w:lang w:val="en-US" w:eastAsia="zh-CN"/>
        </w:rPr>
        <w:t>（3）</w:t>
      </w:r>
      <w:r>
        <w:rPr>
          <w:rFonts w:hint="eastAsia" w:ascii="宋体" w:hAnsi="宋体" w:eastAsia="宋体" w:cs="宋体"/>
          <w:bCs/>
          <w:sz w:val="28"/>
          <w:szCs w:val="28"/>
          <w:lang w:val="zh-CN" w:eastAsia="zh-CN"/>
        </w:rPr>
        <w:t>现场测评活动</w:t>
      </w:r>
    </w:p>
    <w:p w14:paraId="0BA813C0">
      <w:pPr>
        <w:spacing w:line="520" w:lineRule="exact"/>
        <w:ind w:firstLine="560" w:firstLineChars="200"/>
        <w:rPr>
          <w:rFonts w:hint="eastAsia" w:ascii="宋体" w:hAnsi="宋体" w:eastAsia="宋体" w:cs="宋体"/>
          <w:bCs/>
          <w:sz w:val="28"/>
          <w:szCs w:val="28"/>
          <w:lang w:val="zh-CN" w:eastAsia="zh-CN"/>
        </w:rPr>
      </w:pPr>
      <w:r>
        <w:rPr>
          <w:rFonts w:hint="eastAsia" w:ascii="宋体" w:hAnsi="宋体" w:eastAsia="宋体" w:cs="宋体"/>
          <w:bCs/>
          <w:sz w:val="28"/>
          <w:szCs w:val="28"/>
          <w:lang w:val="zh-CN" w:eastAsia="zh-CN"/>
        </w:rPr>
        <w:t>本活动是开展等级测评工作的核心活动。本活动的主要任务是按照测评方案的总体要求，严格执行测评指导书，分步实施所有测评项目，包括单位测评和整体测评两个方面，以了解系统的真实保护情况，获取足够证据，发现系统存在的安全问题。</w:t>
      </w:r>
    </w:p>
    <w:p w14:paraId="5B4E9493">
      <w:pPr>
        <w:spacing w:line="520" w:lineRule="exact"/>
        <w:ind w:firstLine="560" w:firstLineChars="200"/>
        <w:rPr>
          <w:rFonts w:hint="eastAsia" w:ascii="宋体" w:hAnsi="宋体" w:eastAsia="宋体" w:cs="宋体"/>
          <w:bCs/>
          <w:sz w:val="28"/>
          <w:szCs w:val="28"/>
          <w:lang w:val="zh-CN" w:eastAsia="zh-CN"/>
        </w:rPr>
      </w:pPr>
      <w:r>
        <w:rPr>
          <w:rFonts w:hint="eastAsia" w:ascii="宋体" w:hAnsi="宋体" w:eastAsia="宋体" w:cs="宋体"/>
          <w:bCs/>
          <w:sz w:val="28"/>
          <w:szCs w:val="28"/>
          <w:lang w:val="zh-CN" w:eastAsia="zh-CN"/>
        </w:rPr>
        <w:t>（</w:t>
      </w:r>
      <w:r>
        <w:rPr>
          <w:rFonts w:hint="eastAsia" w:ascii="宋体" w:hAnsi="宋体" w:eastAsia="宋体" w:cs="宋体"/>
          <w:bCs/>
          <w:sz w:val="28"/>
          <w:szCs w:val="28"/>
          <w:lang w:val="en-US" w:eastAsia="zh-CN"/>
        </w:rPr>
        <w:t>4</w:t>
      </w:r>
      <w:r>
        <w:rPr>
          <w:rFonts w:hint="eastAsia" w:ascii="宋体" w:hAnsi="宋体" w:eastAsia="宋体" w:cs="宋体"/>
          <w:bCs/>
          <w:sz w:val="28"/>
          <w:szCs w:val="28"/>
          <w:lang w:val="zh-CN" w:eastAsia="zh-CN"/>
        </w:rPr>
        <w:t>）分析与报告编制活动</w:t>
      </w:r>
    </w:p>
    <w:p w14:paraId="33595914">
      <w:pPr>
        <w:spacing w:line="520" w:lineRule="exact"/>
        <w:ind w:firstLine="560" w:firstLineChars="200"/>
        <w:rPr>
          <w:rFonts w:hint="eastAsia" w:ascii="宋体" w:hAnsi="宋体" w:eastAsia="宋体" w:cs="宋体"/>
          <w:bCs/>
          <w:sz w:val="28"/>
          <w:szCs w:val="28"/>
          <w:lang w:val="zh-CN" w:eastAsia="zh-CN"/>
        </w:rPr>
      </w:pPr>
      <w:r>
        <w:rPr>
          <w:rFonts w:hint="eastAsia" w:ascii="宋体" w:hAnsi="宋体" w:eastAsia="宋体" w:cs="宋体"/>
          <w:bCs/>
          <w:sz w:val="28"/>
          <w:szCs w:val="28"/>
          <w:lang w:val="zh-CN" w:eastAsia="zh-CN"/>
        </w:rPr>
        <w:t>本活动是给出等级测评工作结果的活动，是总结被测系统整体安全保护能力的综合评价活动。本活动的主要任务是根据现场测评结果和行标的有关要求，通过单项测评结果判定、单元测评结果判定、整体测评和风险分析等方法，找出整个系统的安全保护现状与相应等级的保护要求之间的差距，并分析这些差距导致被测评系统面临的风险，提出整改意见并配合被测评单位完成整改，从而给出等级测评结论，形成测评报告文本。</w:t>
      </w:r>
    </w:p>
    <w:p w14:paraId="00BF33C6">
      <w:pPr>
        <w:spacing w:line="520" w:lineRule="exact"/>
        <w:ind w:firstLine="560" w:firstLineChars="200"/>
        <w:rPr>
          <w:rFonts w:hint="eastAsia" w:ascii="宋体" w:hAnsi="宋体" w:eastAsia="宋体" w:cs="宋体"/>
          <w:bCs/>
          <w:sz w:val="28"/>
          <w:szCs w:val="28"/>
          <w:lang w:val="zh-CN" w:eastAsia="zh-CN"/>
        </w:rPr>
      </w:pPr>
      <w:r>
        <w:rPr>
          <w:rFonts w:hint="eastAsia" w:ascii="宋体" w:hAnsi="宋体" w:eastAsia="宋体" w:cs="宋体"/>
          <w:bCs/>
          <w:sz w:val="28"/>
          <w:szCs w:val="28"/>
          <w:lang w:val="en-US" w:eastAsia="zh-CN"/>
        </w:rPr>
        <w:t>（5）</w:t>
      </w:r>
      <w:r>
        <w:rPr>
          <w:rFonts w:hint="eastAsia" w:ascii="宋体" w:hAnsi="宋体" w:eastAsia="宋体" w:cs="宋体"/>
          <w:bCs/>
          <w:sz w:val="28"/>
          <w:szCs w:val="28"/>
          <w:lang w:val="zh-CN" w:eastAsia="zh-CN"/>
        </w:rPr>
        <w:t>测评指标：</w:t>
      </w:r>
    </w:p>
    <w:p w14:paraId="771AD481">
      <w:pPr>
        <w:spacing w:line="520" w:lineRule="exact"/>
        <w:ind w:firstLine="560" w:firstLineChars="200"/>
        <w:rPr>
          <w:rFonts w:hint="eastAsia" w:ascii="宋体" w:hAnsi="宋体" w:eastAsia="宋体" w:cs="宋体"/>
          <w:bCs/>
          <w:sz w:val="28"/>
          <w:szCs w:val="28"/>
          <w:lang w:val="zh-CN"/>
        </w:rPr>
      </w:pPr>
      <w:r>
        <w:rPr>
          <w:rFonts w:hint="eastAsia" w:ascii="宋体" w:hAnsi="宋体" w:eastAsia="宋体" w:cs="宋体"/>
          <w:bCs/>
          <w:sz w:val="28"/>
          <w:szCs w:val="28"/>
          <w:lang w:val="zh-CN"/>
        </w:rPr>
        <w:t>三级要求指标：</w:t>
      </w:r>
    </w:p>
    <w:tbl>
      <w:tblPr>
        <w:tblStyle w:val="3"/>
        <w:tblW w:w="5000" w:type="pct"/>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3"/>
        <w:gridCol w:w="1520"/>
        <w:gridCol w:w="5949"/>
      </w:tblGrid>
      <w:tr w14:paraId="6728A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shd w:val="clear" w:color="auto" w:fill="D9D9D9"/>
            <w:noWrap w:val="0"/>
            <w:vAlign w:val="center"/>
          </w:tcPr>
          <w:p w14:paraId="24EC73D8">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安全</w:t>
            </w:r>
          </w:p>
          <w:p w14:paraId="3792B720">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层面</w:t>
            </w:r>
          </w:p>
        </w:tc>
        <w:tc>
          <w:tcPr>
            <w:tcW w:w="1520" w:type="dxa"/>
            <w:shd w:val="clear" w:color="auto" w:fill="D9D9D9"/>
            <w:noWrap w:val="0"/>
            <w:vAlign w:val="center"/>
          </w:tcPr>
          <w:p w14:paraId="4C51CCC0">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安全控制点</w:t>
            </w:r>
          </w:p>
        </w:tc>
        <w:tc>
          <w:tcPr>
            <w:tcW w:w="5949" w:type="dxa"/>
            <w:shd w:val="clear" w:color="auto" w:fill="D9D9D9"/>
            <w:noWrap w:val="0"/>
            <w:vAlign w:val="center"/>
          </w:tcPr>
          <w:p w14:paraId="0092AFE2">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测评指标（2.0）</w:t>
            </w:r>
          </w:p>
        </w:tc>
      </w:tr>
      <w:tr w14:paraId="4166D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restart"/>
            <w:noWrap w:val="0"/>
            <w:vAlign w:val="center"/>
          </w:tcPr>
          <w:p w14:paraId="30597F3D">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安全物理环境</w:t>
            </w:r>
          </w:p>
        </w:tc>
        <w:tc>
          <w:tcPr>
            <w:tcW w:w="1520" w:type="dxa"/>
            <w:vMerge w:val="restart"/>
            <w:noWrap w:val="0"/>
            <w:vAlign w:val="center"/>
          </w:tcPr>
          <w:p w14:paraId="06E1BED9">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物理位置选择</w:t>
            </w:r>
          </w:p>
        </w:tc>
        <w:tc>
          <w:tcPr>
            <w:tcW w:w="5949" w:type="dxa"/>
            <w:noWrap w:val="0"/>
            <w:vAlign w:val="center"/>
          </w:tcPr>
          <w:p w14:paraId="1E68FE5C">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a)机房和办公场地应选择在具有防震、防风和防雨等能力的建筑内；</w:t>
            </w:r>
          </w:p>
        </w:tc>
      </w:tr>
      <w:tr w14:paraId="6F627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04E5D64D">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1A453096">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54E80A49">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b)机房场地应避免设在建筑物的高层或地下室，否则应加强防水和防潮措施。</w:t>
            </w:r>
          </w:p>
        </w:tc>
      </w:tr>
      <w:tr w14:paraId="47A01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225C756">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noWrap w:val="0"/>
            <w:vAlign w:val="center"/>
          </w:tcPr>
          <w:p w14:paraId="5837B167">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物理访问控制</w:t>
            </w:r>
          </w:p>
        </w:tc>
        <w:tc>
          <w:tcPr>
            <w:tcW w:w="5949" w:type="dxa"/>
            <w:noWrap w:val="0"/>
            <w:vAlign w:val="center"/>
          </w:tcPr>
          <w:p w14:paraId="7A37EE6D">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a)机房出入口应配置电子门禁系统，控制、鉴别和记录进入的人员。</w:t>
            </w:r>
          </w:p>
        </w:tc>
      </w:tr>
      <w:tr w14:paraId="46DE9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782BA512">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1FA0A340">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防盗窃和防</w:t>
            </w:r>
          </w:p>
          <w:p w14:paraId="26659AEE">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破坏</w:t>
            </w:r>
          </w:p>
        </w:tc>
        <w:tc>
          <w:tcPr>
            <w:tcW w:w="5949" w:type="dxa"/>
            <w:noWrap w:val="0"/>
            <w:vAlign w:val="center"/>
          </w:tcPr>
          <w:p w14:paraId="33E96CA4">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a)应将设备或主要部件进行固定，并设置明显的不易除去的标识；</w:t>
            </w:r>
          </w:p>
        </w:tc>
      </w:tr>
      <w:tr w14:paraId="29667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203339DA">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05C17D97">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0ED3C311">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b)应将通信线缆铺设在隐蔽安全处；</w:t>
            </w:r>
          </w:p>
        </w:tc>
      </w:tr>
      <w:tr w14:paraId="50B9D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9F22BFF">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14CC693A">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307DA077">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c)应设置机房防盗报警系统或设置有专人值守的视频监控系统。</w:t>
            </w:r>
          </w:p>
        </w:tc>
      </w:tr>
      <w:tr w14:paraId="7D488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9000139">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00232643">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防雷击</w:t>
            </w:r>
          </w:p>
        </w:tc>
        <w:tc>
          <w:tcPr>
            <w:tcW w:w="5949" w:type="dxa"/>
            <w:noWrap w:val="0"/>
            <w:vAlign w:val="center"/>
          </w:tcPr>
          <w:p w14:paraId="1B3587EF">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a)应将各类机柜、设施和设备等通过接地系统安全接地；</w:t>
            </w:r>
          </w:p>
        </w:tc>
      </w:tr>
      <w:tr w14:paraId="2AB1C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364CF77">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032ED3C2">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502D04DF">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b)应采取措施防止感应雷，例如设置防雷保安器或过压保护装置等。</w:t>
            </w:r>
          </w:p>
        </w:tc>
      </w:tr>
      <w:tr w14:paraId="15250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220467F">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65EF7B0D">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防火</w:t>
            </w:r>
          </w:p>
        </w:tc>
        <w:tc>
          <w:tcPr>
            <w:tcW w:w="5949" w:type="dxa"/>
            <w:noWrap w:val="0"/>
            <w:vAlign w:val="center"/>
          </w:tcPr>
          <w:p w14:paraId="59510FF7">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a)机房应设置火灾自动消防系统，能够自动检测火情、自动报警，并自动灭火；</w:t>
            </w:r>
          </w:p>
        </w:tc>
      </w:tr>
      <w:tr w14:paraId="31A7E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E2D8009">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149DF0B9">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23AAA0D8">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b)机房及相关的工作房间和辅助房应采用具有耐火等级的建筑材料；</w:t>
            </w:r>
          </w:p>
        </w:tc>
      </w:tr>
      <w:tr w14:paraId="756E1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CB81321">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1F301B8A">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493F8DA4">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c)应对机房划分区域进行管理，区域和区域之间设置隔离防火措施。</w:t>
            </w:r>
          </w:p>
        </w:tc>
      </w:tr>
      <w:tr w14:paraId="35F24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8538E3A">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3ECB46C4">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防水防潮</w:t>
            </w:r>
          </w:p>
        </w:tc>
        <w:tc>
          <w:tcPr>
            <w:tcW w:w="5949" w:type="dxa"/>
            <w:noWrap w:val="0"/>
            <w:vAlign w:val="center"/>
          </w:tcPr>
          <w:p w14:paraId="4945C746">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a)应采取措施防止雨水通过机房窗户、屋顶和墙壁渗透；</w:t>
            </w:r>
          </w:p>
        </w:tc>
      </w:tr>
      <w:tr w14:paraId="20FD1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5493156">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DD21BE3">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DBCA365">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b)应采取措施防止机房内水蒸气结露和地下积水的转移与渗透；</w:t>
            </w:r>
          </w:p>
        </w:tc>
      </w:tr>
      <w:tr w14:paraId="65BD52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E3B381A">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49A1D368">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1CE54C04">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c)应安装对水敏感的检测仪表或元件，对机房进行防水检测和报警。</w:t>
            </w:r>
          </w:p>
        </w:tc>
      </w:tr>
      <w:tr w14:paraId="7DA3B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2A7FC10">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0190C163">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防静电</w:t>
            </w:r>
          </w:p>
        </w:tc>
        <w:tc>
          <w:tcPr>
            <w:tcW w:w="5949" w:type="dxa"/>
            <w:noWrap w:val="0"/>
            <w:vAlign w:val="center"/>
          </w:tcPr>
          <w:p w14:paraId="6B0F5751">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a)应采用防静电地板或地面并采用必要的接地防静电措施；</w:t>
            </w:r>
          </w:p>
        </w:tc>
      </w:tr>
      <w:tr w14:paraId="4B5CB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399AA3C">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36BA8D87">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5ABD4472">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b)应采取措施防止静电的产生，例如采用静电消除器、佩戴防静电手环等。</w:t>
            </w:r>
          </w:p>
        </w:tc>
      </w:tr>
      <w:tr w14:paraId="2D93B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53" w:type="dxa"/>
            <w:vMerge w:val="continue"/>
            <w:noWrap w:val="0"/>
            <w:vAlign w:val="center"/>
          </w:tcPr>
          <w:p w14:paraId="375FC8F4">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noWrap w:val="0"/>
            <w:vAlign w:val="center"/>
          </w:tcPr>
          <w:p w14:paraId="78B62DF1">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温湿度控制</w:t>
            </w:r>
          </w:p>
        </w:tc>
        <w:tc>
          <w:tcPr>
            <w:tcW w:w="5949" w:type="dxa"/>
            <w:noWrap w:val="0"/>
            <w:vAlign w:val="center"/>
          </w:tcPr>
          <w:p w14:paraId="19E3D706">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a)应设置温湿度自动调节设施，使机房温湿度的变化在设备运行所允许的范围之内。</w:t>
            </w:r>
          </w:p>
        </w:tc>
      </w:tr>
      <w:tr w14:paraId="12FAF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75B5949">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6DA4406B">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电力供应</w:t>
            </w:r>
          </w:p>
        </w:tc>
        <w:tc>
          <w:tcPr>
            <w:tcW w:w="5949" w:type="dxa"/>
            <w:noWrap w:val="0"/>
            <w:vAlign w:val="center"/>
          </w:tcPr>
          <w:p w14:paraId="2B86CD40">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a)应在机房供电线路上配置稳压器和过电压防护设备；</w:t>
            </w:r>
          </w:p>
        </w:tc>
      </w:tr>
      <w:tr w14:paraId="7850C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21616DBC">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1985B7B1">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49F8C611">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b)应提供短期的备用电力供应，至少满足设备在断电情况下的正常运行要求；</w:t>
            </w:r>
          </w:p>
        </w:tc>
      </w:tr>
      <w:tr w14:paraId="4680A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D31687F">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3151DED0">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2DB98A51">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c)应设置冗余或并行的电力电缆线路为计算机系统供电。</w:t>
            </w:r>
          </w:p>
        </w:tc>
      </w:tr>
      <w:tr w14:paraId="5465F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FBFF4B7">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53B36435">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电磁防护</w:t>
            </w:r>
          </w:p>
        </w:tc>
        <w:tc>
          <w:tcPr>
            <w:tcW w:w="5949" w:type="dxa"/>
            <w:noWrap w:val="0"/>
            <w:vAlign w:val="center"/>
          </w:tcPr>
          <w:p w14:paraId="46897C80">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a)电源线和通信线缆应隔离铺设，避免互相干扰；</w:t>
            </w:r>
          </w:p>
        </w:tc>
      </w:tr>
      <w:tr w14:paraId="222D9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3A8C1E8">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29A1DA14">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59FB9438">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b)应对关键设备实施电磁屏蔽。</w:t>
            </w:r>
          </w:p>
        </w:tc>
      </w:tr>
      <w:tr w14:paraId="5BD07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restart"/>
            <w:noWrap w:val="0"/>
            <w:vAlign w:val="center"/>
          </w:tcPr>
          <w:p w14:paraId="515124F6">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安全通信网络</w:t>
            </w:r>
          </w:p>
        </w:tc>
        <w:tc>
          <w:tcPr>
            <w:tcW w:w="1520" w:type="dxa"/>
            <w:vMerge w:val="restart"/>
            <w:noWrap w:val="0"/>
            <w:vAlign w:val="center"/>
          </w:tcPr>
          <w:p w14:paraId="516123C0">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网络架构</w:t>
            </w:r>
          </w:p>
        </w:tc>
        <w:tc>
          <w:tcPr>
            <w:tcW w:w="5949" w:type="dxa"/>
            <w:noWrap w:val="0"/>
            <w:vAlign w:val="center"/>
          </w:tcPr>
          <w:p w14:paraId="3875F00C">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a)应保证网络设备的业务处理能力满足业务高峰期需要；</w:t>
            </w:r>
          </w:p>
        </w:tc>
      </w:tr>
      <w:tr w14:paraId="748E2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C47C135">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21A6E47D">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0E7152FF">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b)应保证网络各个部分的带宽满足业务高峰期需要；</w:t>
            </w:r>
          </w:p>
        </w:tc>
      </w:tr>
      <w:tr w14:paraId="7DAD5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76ED800E">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7285A9A8">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2D3889E2">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c)应划分不同的网络区域，并按照方便管理和控制的原则为各网络区域分配地址；</w:t>
            </w:r>
          </w:p>
        </w:tc>
      </w:tr>
      <w:tr w14:paraId="7F2AC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444EEBE5">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450A394B">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18B4F1AF">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d)应避免将重要网络区域部署在边界处，重要网络区域与其他网络区域之间应采取可靠的技术隔离手段；</w:t>
            </w:r>
          </w:p>
        </w:tc>
      </w:tr>
      <w:tr w14:paraId="36D7F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7133EF3B">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33DFC0D6">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32CEAA63">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e)应提供通信线路、关键网络设备和关键计算设备的硬件冗余，保证系统的可用性。</w:t>
            </w:r>
          </w:p>
        </w:tc>
      </w:tr>
      <w:tr w14:paraId="6DCBE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D890609">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71BD25AA">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通信传输</w:t>
            </w:r>
          </w:p>
        </w:tc>
        <w:tc>
          <w:tcPr>
            <w:tcW w:w="5949" w:type="dxa"/>
            <w:noWrap w:val="0"/>
            <w:vAlign w:val="center"/>
          </w:tcPr>
          <w:p w14:paraId="398EE823">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a)应采用校验技术或密码技术保证通信过程中数据的完整性；</w:t>
            </w:r>
          </w:p>
        </w:tc>
      </w:tr>
      <w:tr w14:paraId="6C1BE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3A0D8AF">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1303F50">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130E5FF5">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b)应采用密码技术保证通信过程中数据的保密性。</w:t>
            </w:r>
          </w:p>
        </w:tc>
      </w:tr>
      <w:tr w14:paraId="228AC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53" w:type="dxa"/>
            <w:vMerge w:val="continue"/>
            <w:noWrap w:val="0"/>
            <w:vAlign w:val="center"/>
          </w:tcPr>
          <w:p w14:paraId="66005B57">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noWrap w:val="0"/>
            <w:vAlign w:val="center"/>
          </w:tcPr>
          <w:p w14:paraId="7CDD7DB1">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可信验证</w:t>
            </w:r>
          </w:p>
        </w:tc>
        <w:tc>
          <w:tcPr>
            <w:tcW w:w="5949" w:type="dxa"/>
            <w:noWrap w:val="0"/>
            <w:vAlign w:val="center"/>
          </w:tcPr>
          <w:p w14:paraId="57A0041B">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可基于可信根对通信设备的系统引导程序、系统程序、重要配置参数和通信应用程序等进行可信验证，并在应用程序的关键执行环节进行动态可信验证，在监测到其可信性受到破坏后进行报警，并将验证结果形成审计记录送至安全管理中心。</w:t>
            </w:r>
          </w:p>
        </w:tc>
      </w:tr>
      <w:tr w14:paraId="26855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restart"/>
            <w:noWrap w:val="0"/>
            <w:vAlign w:val="center"/>
          </w:tcPr>
          <w:p w14:paraId="287E7058">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安全区域边界</w:t>
            </w:r>
          </w:p>
        </w:tc>
        <w:tc>
          <w:tcPr>
            <w:tcW w:w="1520" w:type="dxa"/>
            <w:vMerge w:val="restart"/>
            <w:noWrap w:val="0"/>
            <w:vAlign w:val="center"/>
          </w:tcPr>
          <w:p w14:paraId="29D4B99C">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边界防护</w:t>
            </w:r>
          </w:p>
        </w:tc>
        <w:tc>
          <w:tcPr>
            <w:tcW w:w="5949" w:type="dxa"/>
            <w:noWrap w:val="0"/>
            <w:vAlign w:val="center"/>
          </w:tcPr>
          <w:p w14:paraId="1E357535">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a)应保证跨越边界的访问和数据流通过边界设备提供的受控接口进行通信；</w:t>
            </w:r>
          </w:p>
        </w:tc>
      </w:tr>
      <w:tr w14:paraId="4AA66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5A4707E">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68604E54">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370F9155">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b)应能够对非授权设备私自联到内部网络的行为进行检测或限制；</w:t>
            </w:r>
          </w:p>
        </w:tc>
      </w:tr>
      <w:tr w14:paraId="470A0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A16EEC7">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D00E18A">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B34F332">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c)应能够对内部用户非授权联到外部网络的行为进行检查或限制；</w:t>
            </w:r>
          </w:p>
        </w:tc>
      </w:tr>
      <w:tr w14:paraId="5419C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FB66E21">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4CD94507">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1ED56E3">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d)应限制无线网络的使用，保证无线网络通过受控的边界设备接入内部网络。</w:t>
            </w:r>
          </w:p>
        </w:tc>
      </w:tr>
      <w:tr w14:paraId="6C34C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196A8AAA">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231562DF">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访问控制</w:t>
            </w:r>
          </w:p>
        </w:tc>
        <w:tc>
          <w:tcPr>
            <w:tcW w:w="5949" w:type="dxa"/>
            <w:noWrap w:val="0"/>
            <w:vAlign w:val="center"/>
          </w:tcPr>
          <w:p w14:paraId="7C1429F2">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a)应在网络边界或区域之间根据访问控制策略设置访问控制规则，默认情况下除允许通信外受控接口拒绝所有通信；</w:t>
            </w:r>
          </w:p>
        </w:tc>
      </w:tr>
      <w:tr w14:paraId="422F1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77194B65">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798F655F">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68FEB365">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b)应删除多余或无效的控制规则，优化访问控制列表，并保证访问控制规则数量最小化；</w:t>
            </w:r>
          </w:p>
        </w:tc>
      </w:tr>
      <w:tr w14:paraId="6ED6C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AA44D0C">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23008EC9">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59ABB014">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c)应对源地址、目的地址、源端口、目的端口和协议等进行检查，以允许/拒绝数据包进出；</w:t>
            </w:r>
          </w:p>
        </w:tc>
      </w:tr>
      <w:tr w14:paraId="46629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73F9E0DA">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6A9565B1">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BDA2382">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d)应能根据会话状态信息为进出数据流提供明确的允许/拒绝访问的能力；</w:t>
            </w:r>
          </w:p>
        </w:tc>
      </w:tr>
      <w:tr w14:paraId="04212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0478BE5F">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62664F16">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6CE69E6E">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e)应对进出网络的数据流实现基于应用协议和应用内容的访问控制。</w:t>
            </w:r>
          </w:p>
        </w:tc>
      </w:tr>
      <w:tr w14:paraId="183FA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7675399">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076B4681">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入侵防范</w:t>
            </w:r>
          </w:p>
        </w:tc>
        <w:tc>
          <w:tcPr>
            <w:tcW w:w="5949" w:type="dxa"/>
            <w:noWrap w:val="0"/>
            <w:vAlign w:val="center"/>
          </w:tcPr>
          <w:p w14:paraId="7934F10E">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a)应在关键网络节点处检测、防止或限制从外部发起的网络攻击行为；</w:t>
            </w:r>
          </w:p>
        </w:tc>
      </w:tr>
      <w:tr w14:paraId="15F09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03C6D00F">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01060A3E">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26839D8E">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b)应在关键网络节点处检测、防止或限制从内部发起的网络攻击行为；</w:t>
            </w:r>
          </w:p>
        </w:tc>
      </w:tr>
      <w:tr w14:paraId="617DD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BD2DB5D">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B45B5F0">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079807F9">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c)应采取技术措施对网络行为进行分析，实现对网络攻击特别是新型网络攻击行为的分析；</w:t>
            </w:r>
          </w:p>
        </w:tc>
      </w:tr>
      <w:tr w14:paraId="5ADEF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592CC452">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7D432C1">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38A47871">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d)当检测到攻击行为时，记录攻击源IP、攻击类型、攻击目的、攻击时间，在发生严重入侵事件时应提供报警。</w:t>
            </w:r>
          </w:p>
        </w:tc>
      </w:tr>
      <w:tr w14:paraId="79378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5566A18C">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0055628C">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恶意代码和垃圾邮件防范</w:t>
            </w:r>
          </w:p>
        </w:tc>
        <w:tc>
          <w:tcPr>
            <w:tcW w:w="5949" w:type="dxa"/>
            <w:noWrap w:val="0"/>
            <w:vAlign w:val="center"/>
          </w:tcPr>
          <w:p w14:paraId="550E8E35">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a)应在关键网络节点处对恶意代码进行检测和清除，并维护恶意代码防护机制的升级和更新；</w:t>
            </w:r>
          </w:p>
        </w:tc>
      </w:tr>
      <w:tr w14:paraId="45B7A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2645D01D">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7E98D3E0">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03482FFA">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b)应在关键网络节点处对垃圾邮件进行检测和防护，并维护垃圾邮件防护机制的升级和更新。</w:t>
            </w:r>
          </w:p>
        </w:tc>
      </w:tr>
      <w:tr w14:paraId="6F224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1917A51A">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4CB6B7CB">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安全审计</w:t>
            </w:r>
          </w:p>
        </w:tc>
        <w:tc>
          <w:tcPr>
            <w:tcW w:w="5949" w:type="dxa"/>
            <w:noWrap w:val="0"/>
            <w:vAlign w:val="center"/>
          </w:tcPr>
          <w:p w14:paraId="61B7A719">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a)应在网络边界，重要网络节点进行安全审计，审计覆盖到每个用户，对重要的用户行为和重要安全事件进行审计；</w:t>
            </w:r>
          </w:p>
        </w:tc>
      </w:tr>
      <w:tr w14:paraId="75B9C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7942C17">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06F33827">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67FB5B9B">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b)审计记录应包括事件的日期、用户、事件类型、事件是否成功及其他与审计相关的信息；</w:t>
            </w:r>
          </w:p>
        </w:tc>
      </w:tr>
      <w:tr w14:paraId="7CADC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18EC37A">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19C68EE1">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1C23FCAD">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c)应对审计记录进行保护，定期备份，避免受到未预期的删除、修改或覆盖等；</w:t>
            </w:r>
          </w:p>
        </w:tc>
      </w:tr>
      <w:tr w14:paraId="56C15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9B8615E">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2B17D516">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2A3B1CEA">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d)应能对远程访问的用户行为、访问互联网的用户行为等单独进行行为审计和数据分析。</w:t>
            </w:r>
          </w:p>
        </w:tc>
      </w:tr>
      <w:tr w14:paraId="18098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1053" w:type="dxa"/>
            <w:vMerge w:val="continue"/>
            <w:noWrap w:val="0"/>
            <w:vAlign w:val="center"/>
          </w:tcPr>
          <w:p w14:paraId="34F38F7F">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noWrap w:val="0"/>
            <w:vAlign w:val="center"/>
          </w:tcPr>
          <w:p w14:paraId="4277F622">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可信验证</w:t>
            </w:r>
          </w:p>
        </w:tc>
        <w:tc>
          <w:tcPr>
            <w:tcW w:w="5949" w:type="dxa"/>
            <w:noWrap w:val="0"/>
            <w:vAlign w:val="center"/>
          </w:tcPr>
          <w:p w14:paraId="629467EE">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可基于可信根对边界设备的系统引导程序、系统程序、重要配置参数和边界防护应用程序等进行可信验证，并在应用程序的关键执行环节进行动态可信验证，在检测到其可信性受到破坏后进行报警，并将验证结果形成审计记录送至安全管理中心。</w:t>
            </w:r>
          </w:p>
        </w:tc>
      </w:tr>
      <w:tr w14:paraId="6F632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restart"/>
            <w:noWrap w:val="0"/>
            <w:vAlign w:val="center"/>
          </w:tcPr>
          <w:p w14:paraId="333CB6C4">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安全计算环境</w:t>
            </w:r>
          </w:p>
        </w:tc>
        <w:tc>
          <w:tcPr>
            <w:tcW w:w="1520" w:type="dxa"/>
            <w:vMerge w:val="restart"/>
            <w:noWrap w:val="0"/>
            <w:vAlign w:val="center"/>
          </w:tcPr>
          <w:p w14:paraId="63D043E8">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身份鉴别</w:t>
            </w:r>
          </w:p>
        </w:tc>
        <w:tc>
          <w:tcPr>
            <w:tcW w:w="5949" w:type="dxa"/>
            <w:noWrap w:val="0"/>
            <w:vAlign w:val="center"/>
          </w:tcPr>
          <w:p w14:paraId="1B087841">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a)应对登录的用户进行身份标识和鉴别，身份标识具有唯一性，身份鉴别信息具有复杂度要求并定期更换；</w:t>
            </w:r>
          </w:p>
        </w:tc>
      </w:tr>
      <w:tr w14:paraId="12F49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continue"/>
            <w:noWrap w:val="0"/>
            <w:vAlign w:val="center"/>
          </w:tcPr>
          <w:p w14:paraId="69385E8A">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2B0D0F3D">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4962F597">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b)应启用登陆失败处理功能，应配置并启用结束会话、限制非法登录次数和当登录连接超时时自动退出等相关措施；</w:t>
            </w:r>
          </w:p>
        </w:tc>
      </w:tr>
      <w:tr w14:paraId="17C84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053" w:type="dxa"/>
            <w:vMerge w:val="continue"/>
            <w:noWrap w:val="0"/>
            <w:vAlign w:val="center"/>
          </w:tcPr>
          <w:p w14:paraId="1DD0D373">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2A773372">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49AD606B">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c)当进行远程管理时，应采取必要措施防止鉴别信息在网络传输过程中被窃听；</w:t>
            </w:r>
          </w:p>
        </w:tc>
      </w:tr>
      <w:tr w14:paraId="5D8A4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5A0C93B2">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36605950">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5485E352">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d)应采用口令、密码技术、生物技术等两种或两种以上组合的鉴别技术对用户进行身份鉴别，且其中一种鉴别技术至少应使用密码技术实现。</w:t>
            </w:r>
          </w:p>
        </w:tc>
      </w:tr>
      <w:tr w14:paraId="3200B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7369C78">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76CC63C9">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访问控制</w:t>
            </w:r>
          </w:p>
        </w:tc>
        <w:tc>
          <w:tcPr>
            <w:tcW w:w="5949" w:type="dxa"/>
            <w:noWrap w:val="0"/>
            <w:vAlign w:val="center"/>
          </w:tcPr>
          <w:p w14:paraId="4C08771D">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a)应对登录的用户分配账户和权限；</w:t>
            </w:r>
          </w:p>
        </w:tc>
      </w:tr>
      <w:tr w14:paraId="4D751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C100564">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15F0BCBE">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57C686A9">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b)应重命名或删除默认账户，修改默认账户的默认口令；</w:t>
            </w:r>
          </w:p>
        </w:tc>
      </w:tr>
      <w:tr w14:paraId="33F86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EB7B3CD">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58667F9">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092DC5A9">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c)应及时删除或停用多余的，过期的账户，避免共享账户的存在；</w:t>
            </w:r>
          </w:p>
        </w:tc>
      </w:tr>
      <w:tr w14:paraId="7596B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8EAA5E1">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3A3B4D7A">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0B1E93D4">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d)应授予管理用户所需的最小权限，实现管理用户的权限分离；</w:t>
            </w:r>
          </w:p>
        </w:tc>
      </w:tr>
      <w:tr w14:paraId="7D0FA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rPr>
        <w:tc>
          <w:tcPr>
            <w:tcW w:w="1053" w:type="dxa"/>
            <w:vMerge w:val="continue"/>
            <w:noWrap w:val="0"/>
            <w:vAlign w:val="center"/>
          </w:tcPr>
          <w:p w14:paraId="6F054C9D">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0B29CA5B">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59589C46">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e）应由授权主体配置访问控制策略，访问控制策略规定主体对客体的访问规则；</w:t>
            </w:r>
          </w:p>
        </w:tc>
      </w:tr>
      <w:tr w14:paraId="02B36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F3128D3">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0A2562C5">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15120BDD">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f)访问控制的粒度应达到主体为用户级或进程级，客体为文件、数据库表级；</w:t>
            </w:r>
          </w:p>
        </w:tc>
      </w:tr>
      <w:tr w14:paraId="4F9C5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1053" w:type="dxa"/>
            <w:vMerge w:val="continue"/>
            <w:noWrap w:val="0"/>
            <w:vAlign w:val="center"/>
          </w:tcPr>
          <w:p w14:paraId="7CEEFF8E">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670035B4">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1DAB5201">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g)应对重要主体和客体设置安全标记，并控制主体对有安全标记信息资源的访问。</w:t>
            </w:r>
          </w:p>
        </w:tc>
      </w:tr>
      <w:tr w14:paraId="5312F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904F212">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607B0712">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安全审计</w:t>
            </w:r>
          </w:p>
        </w:tc>
        <w:tc>
          <w:tcPr>
            <w:tcW w:w="5949" w:type="dxa"/>
            <w:noWrap w:val="0"/>
            <w:vAlign w:val="center"/>
          </w:tcPr>
          <w:p w14:paraId="24F6DF09">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a)应启用安全审计功能，审计覆盖到每个用户，对重要的用户行为和重要安全事件进行审计；</w:t>
            </w:r>
          </w:p>
        </w:tc>
      </w:tr>
      <w:tr w14:paraId="5488C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D495AEF">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651BD40C">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D0AFD0F">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b)审计记录应包括事件的日期、时间、事件类型、事件是否成功及其他与审计相关的工作；</w:t>
            </w:r>
          </w:p>
        </w:tc>
      </w:tr>
      <w:tr w14:paraId="744D0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7320DAB5">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734241E0">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6C4A48EF">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c)应对审计记录进行保护，定期备份、避免受到未预期的删除、修改或覆盖等；</w:t>
            </w:r>
          </w:p>
        </w:tc>
      </w:tr>
      <w:tr w14:paraId="54BDF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EAB9FCD">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758B154D">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4B81E582">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d)应对审计进程进行保护，防止未经授权的中断。</w:t>
            </w:r>
          </w:p>
        </w:tc>
      </w:tr>
      <w:tr w14:paraId="0199A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07D61476">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1DA08968">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入侵防范</w:t>
            </w:r>
          </w:p>
        </w:tc>
        <w:tc>
          <w:tcPr>
            <w:tcW w:w="5949" w:type="dxa"/>
            <w:noWrap w:val="0"/>
            <w:vAlign w:val="center"/>
          </w:tcPr>
          <w:p w14:paraId="2496FCF2">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a)应遵循最小安装的原则，仅安装需要的组件和应用程序；</w:t>
            </w:r>
          </w:p>
        </w:tc>
      </w:tr>
      <w:tr w14:paraId="46D00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5EA396C9">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3499FFBA">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5E779A12">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b)应关闭不需要的系统服务、默认共享和高危端口；</w:t>
            </w:r>
          </w:p>
        </w:tc>
      </w:tr>
      <w:tr w14:paraId="556B4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70BA4B9F">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46D274C7">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4241D7C5">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c)应通过设定终端接入方式或网络地址范围对通过网络进行管理的管理终端进行限制；</w:t>
            </w:r>
          </w:p>
        </w:tc>
      </w:tr>
      <w:tr w14:paraId="3788D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053" w:type="dxa"/>
            <w:vMerge w:val="continue"/>
            <w:noWrap w:val="0"/>
            <w:vAlign w:val="center"/>
          </w:tcPr>
          <w:p w14:paraId="48E87F89">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F0A4B1E">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26AF3DC6">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d）应提供数据有效性检验功能，保证通过人机接口输入或通过通信接口输入的内容符合系统设定要求。</w:t>
            </w:r>
          </w:p>
        </w:tc>
      </w:tr>
      <w:tr w14:paraId="66E42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84D1E39">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0E24B02">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2B88101B">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e)应能发现可能存在的已知漏洞，并在经过充分测试评估后，及时修补漏洞；</w:t>
            </w:r>
          </w:p>
        </w:tc>
      </w:tr>
      <w:tr w14:paraId="64AE7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71830B88">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67162706">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608BC915">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f)应能检测到对重要节点进行入侵的行为，并在发生严重入侵事件时提供报警。</w:t>
            </w:r>
          </w:p>
        </w:tc>
      </w:tr>
      <w:tr w14:paraId="44F2F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continue"/>
            <w:noWrap w:val="0"/>
            <w:vAlign w:val="center"/>
          </w:tcPr>
          <w:p w14:paraId="70553CB2">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noWrap w:val="0"/>
            <w:vAlign w:val="center"/>
          </w:tcPr>
          <w:p w14:paraId="172B130D">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恶意代码防范</w:t>
            </w:r>
          </w:p>
        </w:tc>
        <w:tc>
          <w:tcPr>
            <w:tcW w:w="5949" w:type="dxa"/>
            <w:noWrap w:val="0"/>
            <w:vAlign w:val="center"/>
          </w:tcPr>
          <w:p w14:paraId="3C989BCF">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a)应采用免受恶意代码攻击的技术措施，或主动免疫可信验证机制及时识别入侵和病毒行为，并将其有效阻断。</w:t>
            </w:r>
          </w:p>
        </w:tc>
      </w:tr>
      <w:tr w14:paraId="14984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rPr>
        <w:tc>
          <w:tcPr>
            <w:tcW w:w="1053" w:type="dxa"/>
            <w:vMerge w:val="continue"/>
            <w:noWrap w:val="0"/>
            <w:vAlign w:val="center"/>
          </w:tcPr>
          <w:p w14:paraId="4F32E0EC">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noWrap w:val="0"/>
            <w:vAlign w:val="center"/>
          </w:tcPr>
          <w:p w14:paraId="6849DA86">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可信验证</w:t>
            </w:r>
          </w:p>
        </w:tc>
        <w:tc>
          <w:tcPr>
            <w:tcW w:w="5949" w:type="dxa"/>
            <w:noWrap w:val="0"/>
            <w:vAlign w:val="center"/>
          </w:tcPr>
          <w:p w14:paraId="402FE9AE">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可基于可信根对计算设备的系统引导程序、系统程序、重要配置参数和通信应用程序等进行可信验证，并在应用程序的关键执行环节进行动态可信验证，在检测到其可信性受到破坏后进行报警，并将验证结果形成审计记录送至安全管理中心。</w:t>
            </w:r>
          </w:p>
        </w:tc>
      </w:tr>
      <w:tr w14:paraId="520D4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continue"/>
            <w:noWrap w:val="0"/>
            <w:vAlign w:val="center"/>
          </w:tcPr>
          <w:p w14:paraId="1F731207">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7ECE7143">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数据完整性</w:t>
            </w:r>
          </w:p>
        </w:tc>
        <w:tc>
          <w:tcPr>
            <w:tcW w:w="5949" w:type="dxa"/>
            <w:noWrap w:val="0"/>
            <w:vAlign w:val="center"/>
          </w:tcPr>
          <w:p w14:paraId="0832868B">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a)应采用校验技术或密码技术保证重要数据在传输过程中的完整性，包括但不限于数据鉴别、重要业务数据、重要审计数据、重要配置数据、重要视频数据和重要个人信息等；</w:t>
            </w:r>
          </w:p>
        </w:tc>
      </w:tr>
      <w:tr w14:paraId="6ECBB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continue"/>
            <w:noWrap w:val="0"/>
            <w:vAlign w:val="center"/>
          </w:tcPr>
          <w:p w14:paraId="3DE3E066">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42143EAC">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125029F8">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b)应采用校验技术或密码技术保证重要数据在存储过程中的完整性，包括但不限于数据鉴别、重要业务数据、重要审计数据、重要配置数据、重要视频数据和重要个人信息等。</w:t>
            </w:r>
          </w:p>
        </w:tc>
      </w:tr>
      <w:tr w14:paraId="62223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continue"/>
            <w:noWrap w:val="0"/>
            <w:vAlign w:val="center"/>
          </w:tcPr>
          <w:p w14:paraId="4A3FCCD9">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6A494FEF">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数据保密性</w:t>
            </w:r>
          </w:p>
        </w:tc>
        <w:tc>
          <w:tcPr>
            <w:tcW w:w="5949" w:type="dxa"/>
            <w:noWrap w:val="0"/>
            <w:vAlign w:val="center"/>
          </w:tcPr>
          <w:p w14:paraId="7A4E7A67">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a)应采用密码技术保证重要数据在传输过程中的保密性，包括但不限于数据鉴别、重要业务数据和重要个人信息等；</w:t>
            </w:r>
          </w:p>
        </w:tc>
      </w:tr>
      <w:tr w14:paraId="5AE95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continue"/>
            <w:noWrap w:val="0"/>
            <w:vAlign w:val="center"/>
          </w:tcPr>
          <w:p w14:paraId="4018FA52">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069AAEDE">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39FCE0CD">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b)应采用密码技术保证重要数据在存储过程中的保密性，包括但不限于数据鉴别、重要业务数据和重要个人信息等。</w:t>
            </w:r>
          </w:p>
        </w:tc>
      </w:tr>
      <w:tr w14:paraId="5386C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1053" w:type="dxa"/>
            <w:vMerge w:val="continue"/>
            <w:noWrap w:val="0"/>
            <w:vAlign w:val="center"/>
          </w:tcPr>
          <w:p w14:paraId="17BF7EAC">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5FF11863">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数据备份和</w:t>
            </w:r>
          </w:p>
          <w:p w14:paraId="4306ECA3">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恢复</w:t>
            </w:r>
          </w:p>
        </w:tc>
        <w:tc>
          <w:tcPr>
            <w:tcW w:w="5949" w:type="dxa"/>
            <w:noWrap w:val="0"/>
            <w:vAlign w:val="center"/>
          </w:tcPr>
          <w:p w14:paraId="6EAC5ECF">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a)应提供重要数据的本地数据备份与恢复功能；</w:t>
            </w:r>
          </w:p>
        </w:tc>
      </w:tr>
      <w:tr w14:paraId="21F15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02657100">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1E36804A">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43BCB5DB">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b)应提供异地实时备份功能，利用通信网络将重要数据实时备份至备用场地；</w:t>
            </w:r>
          </w:p>
        </w:tc>
      </w:tr>
      <w:tr w14:paraId="3B750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EA3B333">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1CDC7A7A">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0F613C2F">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c)应提供重要数据处理系统的热冗余，保证系统的高可用性。</w:t>
            </w:r>
          </w:p>
        </w:tc>
      </w:tr>
      <w:tr w14:paraId="5FF81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791292C5">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05A70FE0">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剩余信息保护</w:t>
            </w:r>
          </w:p>
        </w:tc>
        <w:tc>
          <w:tcPr>
            <w:tcW w:w="5949" w:type="dxa"/>
            <w:noWrap w:val="0"/>
            <w:vAlign w:val="center"/>
          </w:tcPr>
          <w:p w14:paraId="3FB99FE5">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a)应保证鉴别信息所在的存储空间被释放或重新分配前得到完全清除；</w:t>
            </w:r>
          </w:p>
        </w:tc>
      </w:tr>
      <w:tr w14:paraId="0299C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014E729C">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3BA4B84D">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41A683F">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b)应保证存有敏感数据的存储空间被释放或重新分配前得到完全清除。</w:t>
            </w:r>
          </w:p>
        </w:tc>
      </w:tr>
      <w:tr w14:paraId="2E45A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BF02E45">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4C52A4C8">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个人信息保护</w:t>
            </w:r>
          </w:p>
        </w:tc>
        <w:tc>
          <w:tcPr>
            <w:tcW w:w="5949" w:type="dxa"/>
            <w:noWrap w:val="0"/>
            <w:vAlign w:val="center"/>
          </w:tcPr>
          <w:p w14:paraId="58272D1E">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a)应仅采集和保存业务必需的用户个人信息；</w:t>
            </w:r>
          </w:p>
        </w:tc>
      </w:tr>
      <w:tr w14:paraId="246F1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3EA375E">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08FAC793">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2BFA93F0">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b)应禁止未授权访问和非法使用用户个人信息。</w:t>
            </w:r>
          </w:p>
        </w:tc>
      </w:tr>
      <w:tr w14:paraId="11766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restart"/>
            <w:noWrap w:val="0"/>
            <w:vAlign w:val="center"/>
          </w:tcPr>
          <w:p w14:paraId="19F1DD2C">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安全管理中心</w:t>
            </w:r>
          </w:p>
        </w:tc>
        <w:tc>
          <w:tcPr>
            <w:tcW w:w="1520" w:type="dxa"/>
            <w:vMerge w:val="restart"/>
            <w:noWrap w:val="0"/>
            <w:vAlign w:val="center"/>
          </w:tcPr>
          <w:p w14:paraId="11E29ED7">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系统管理</w:t>
            </w:r>
          </w:p>
        </w:tc>
        <w:tc>
          <w:tcPr>
            <w:tcW w:w="5949" w:type="dxa"/>
            <w:noWrap w:val="0"/>
            <w:vAlign w:val="center"/>
          </w:tcPr>
          <w:p w14:paraId="60D85903">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a)应对系统管理员进行身份鉴别，只允许其通过特定的命令或操作界面进行系统管理操作，并对这些操作进行审计；</w:t>
            </w:r>
          </w:p>
        </w:tc>
      </w:tr>
      <w:tr w14:paraId="1E7D1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790B208A">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FC28717">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0329C069">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b）应通过系统管理员对系统的资源和运行进行配置、控制和管理，包括用户身份，系统资源配置、系统加载和启动、系统运行的异常处理、数据和设备的备份与恢复等。</w:t>
            </w:r>
          </w:p>
        </w:tc>
      </w:tr>
      <w:tr w14:paraId="22563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03C40759">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5C64B1B4">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审计管理</w:t>
            </w:r>
          </w:p>
        </w:tc>
        <w:tc>
          <w:tcPr>
            <w:tcW w:w="5949" w:type="dxa"/>
            <w:noWrap w:val="0"/>
            <w:vAlign w:val="center"/>
          </w:tcPr>
          <w:p w14:paraId="54357B49">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a)应对审计管理员进行身份鉴别，只允许其通过特定的命令或操作界面进行安全审计操作，并对这些操作进行审计；</w:t>
            </w:r>
          </w:p>
        </w:tc>
      </w:tr>
      <w:tr w14:paraId="24782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06DDEF80">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8DA5887">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4B885CAE">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b)应通过审计管理员对审计记录进行分析，并根据分析结果进行处理，包括根据安全审计策略对审计记录进行存储、管理和查询。</w:t>
            </w:r>
          </w:p>
        </w:tc>
      </w:tr>
      <w:tr w14:paraId="49CB9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34EEC7E0">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68DD96A1">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安全管理</w:t>
            </w:r>
          </w:p>
        </w:tc>
        <w:tc>
          <w:tcPr>
            <w:tcW w:w="5949" w:type="dxa"/>
            <w:noWrap w:val="0"/>
            <w:vAlign w:val="center"/>
          </w:tcPr>
          <w:p w14:paraId="4F232A68">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a)应对安全管理员进行身份鉴别，只允许通过特定的命令或操作界面进行安全管理操作，并对这些操作进行审计；</w:t>
            </w:r>
          </w:p>
        </w:tc>
      </w:tr>
      <w:tr w14:paraId="467EB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2C8B57C5">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6BDE597A">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2D2D89D6">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b)应通过安全管理员对系统中的安全策略进行配置，包括安全参数的设置，主体，客体进行统一安全标识，对主体进行授权，配置安全可信验证策略等。</w:t>
            </w:r>
          </w:p>
        </w:tc>
      </w:tr>
      <w:tr w14:paraId="7A12F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EA7DEB8">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57ABDC25">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集中管控</w:t>
            </w:r>
          </w:p>
        </w:tc>
        <w:tc>
          <w:tcPr>
            <w:tcW w:w="5949" w:type="dxa"/>
            <w:noWrap w:val="0"/>
            <w:vAlign w:val="center"/>
          </w:tcPr>
          <w:p w14:paraId="46563823">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a)应划分特定的管理区域，对分布在网络中的安全设备或安全组件进行管控；</w:t>
            </w:r>
          </w:p>
        </w:tc>
      </w:tr>
      <w:tr w14:paraId="63C76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759A891">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795C98CA">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3B9297F6">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b)应能够建立一条安全的信息传输路径，对网络中的安全设备或安全组件进行管理；</w:t>
            </w:r>
          </w:p>
        </w:tc>
      </w:tr>
      <w:tr w14:paraId="716E1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23C7FD2">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3CF7A456">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1B81320E">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c）应对网络链路、安全设备、网络设备和服务器等的运行状况进行集中监测；</w:t>
            </w:r>
          </w:p>
        </w:tc>
      </w:tr>
      <w:tr w14:paraId="5EA58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5FF23176">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83D97E8">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3A675B6E">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d)应对分散在各个设备上的审计数据进行收集汇总和集中分析，并保证审计记录的留存时间符合法律法规要求；</w:t>
            </w:r>
          </w:p>
        </w:tc>
      </w:tr>
      <w:tr w14:paraId="1AE01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30C4CD9">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6EF010CB">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40648315">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e）应对安全策略、安全代码、补丁升级等安全事项进行集中管理；</w:t>
            </w:r>
          </w:p>
        </w:tc>
      </w:tr>
      <w:tr w14:paraId="25AED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06BEFE6">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33A3682">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9692E01">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f）应能对网络中发生的各类安全事件进行识别报警和分析。</w:t>
            </w:r>
          </w:p>
        </w:tc>
      </w:tr>
      <w:tr w14:paraId="4C441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restart"/>
            <w:noWrap w:val="0"/>
            <w:vAlign w:val="center"/>
          </w:tcPr>
          <w:p w14:paraId="50D5CC46">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安全管理制度</w:t>
            </w:r>
          </w:p>
        </w:tc>
        <w:tc>
          <w:tcPr>
            <w:tcW w:w="1520" w:type="dxa"/>
            <w:noWrap w:val="0"/>
            <w:vAlign w:val="center"/>
          </w:tcPr>
          <w:p w14:paraId="1E8F78BA">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安全策略</w:t>
            </w:r>
          </w:p>
        </w:tc>
        <w:tc>
          <w:tcPr>
            <w:tcW w:w="5949" w:type="dxa"/>
            <w:noWrap w:val="0"/>
            <w:vAlign w:val="center"/>
          </w:tcPr>
          <w:p w14:paraId="28532756">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a）应制定网络安全工作的总体方针和安全策略，阐明机构安全工作的总体目标、范围、原则和安全框架等。</w:t>
            </w:r>
          </w:p>
        </w:tc>
      </w:tr>
      <w:tr w14:paraId="423DA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DB4B8C6">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2E9C6D7A">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管理制度</w:t>
            </w:r>
          </w:p>
        </w:tc>
        <w:tc>
          <w:tcPr>
            <w:tcW w:w="5949" w:type="dxa"/>
            <w:noWrap w:val="0"/>
            <w:vAlign w:val="center"/>
          </w:tcPr>
          <w:p w14:paraId="4A8E3103">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a）应对安全管理活动中的各类管理内容建立安全管理制度;</w:t>
            </w:r>
          </w:p>
        </w:tc>
      </w:tr>
      <w:tr w14:paraId="7BC09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54727985">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44AED07A">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63D9DB60">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b）应对要求管理人员或操作人员执行的日常管理操作建立操作规程;</w:t>
            </w:r>
          </w:p>
        </w:tc>
      </w:tr>
      <w:tr w14:paraId="23324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51B16E75">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3FFC7221">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3593B2A">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c）应形成由安全策略，管理制度，操作规程，记录表单等构成安全管理制度体系。</w:t>
            </w:r>
          </w:p>
        </w:tc>
      </w:tr>
      <w:tr w14:paraId="72D0D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DAB2E94">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51CDF1E7">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制定和发布</w:t>
            </w:r>
          </w:p>
        </w:tc>
        <w:tc>
          <w:tcPr>
            <w:tcW w:w="5949" w:type="dxa"/>
            <w:noWrap w:val="0"/>
            <w:vAlign w:val="center"/>
          </w:tcPr>
          <w:p w14:paraId="3B316D0C">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a）应指定或授权专门的部门或人员负责安全管理制度的制定;</w:t>
            </w:r>
          </w:p>
        </w:tc>
      </w:tr>
      <w:tr w14:paraId="72412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06F4A9FA">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65883007">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B534B62">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d）安全管理制度应通过正式、有效的方式发布，并进行版本控制.</w:t>
            </w:r>
          </w:p>
        </w:tc>
      </w:tr>
      <w:tr w14:paraId="562A5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continue"/>
            <w:noWrap w:val="0"/>
            <w:vAlign w:val="center"/>
          </w:tcPr>
          <w:p w14:paraId="4F0D540C">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noWrap w:val="0"/>
            <w:vAlign w:val="center"/>
          </w:tcPr>
          <w:p w14:paraId="4D5E7981">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评审和修订</w:t>
            </w:r>
          </w:p>
        </w:tc>
        <w:tc>
          <w:tcPr>
            <w:tcW w:w="5949" w:type="dxa"/>
            <w:noWrap w:val="0"/>
            <w:vAlign w:val="center"/>
          </w:tcPr>
          <w:p w14:paraId="36F8A9B0">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a）应定期对安全管理制度的合理性和适用性进行论证和审定，对存在不足或需要改进的安全管理制度进行修订。</w:t>
            </w:r>
          </w:p>
        </w:tc>
      </w:tr>
      <w:tr w14:paraId="15BA0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restart"/>
            <w:noWrap w:val="0"/>
            <w:vAlign w:val="center"/>
          </w:tcPr>
          <w:p w14:paraId="7FA641A5">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安全管理机构</w:t>
            </w:r>
          </w:p>
        </w:tc>
        <w:tc>
          <w:tcPr>
            <w:tcW w:w="1520" w:type="dxa"/>
            <w:vMerge w:val="restart"/>
            <w:noWrap w:val="0"/>
            <w:vAlign w:val="center"/>
          </w:tcPr>
          <w:p w14:paraId="1653671E">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岗位设置</w:t>
            </w:r>
          </w:p>
        </w:tc>
        <w:tc>
          <w:tcPr>
            <w:tcW w:w="5949" w:type="dxa"/>
            <w:noWrap w:val="0"/>
            <w:vAlign w:val="center"/>
          </w:tcPr>
          <w:p w14:paraId="143AB7D4">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a）应成立指导和管理网络安全工作的委员会或领导小组，其最高领导由单位主管领导担任或授权 ；</w:t>
            </w:r>
          </w:p>
        </w:tc>
      </w:tr>
      <w:tr w14:paraId="4214E7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continue"/>
            <w:noWrap w:val="0"/>
            <w:vAlign w:val="center"/>
          </w:tcPr>
          <w:p w14:paraId="0E422364">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43299F83">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4E84DBD4">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b）应设立网络安全管理工作的职能部门，设立安全主管、安全管理各个方面的负责人岗位，并定义各负责人的职责；</w:t>
            </w:r>
          </w:p>
        </w:tc>
      </w:tr>
      <w:tr w14:paraId="72830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0E042B9B">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31693ED2">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73BFD46">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c）应设立系统管理员、审计管理员、安全管理员等岗位，并定义部门及各个工作岗位的职责。</w:t>
            </w:r>
          </w:p>
        </w:tc>
      </w:tr>
      <w:tr w14:paraId="2182A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7FB65D7">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407A199C">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人员配备</w:t>
            </w:r>
          </w:p>
        </w:tc>
        <w:tc>
          <w:tcPr>
            <w:tcW w:w="5949" w:type="dxa"/>
            <w:noWrap w:val="0"/>
            <w:vAlign w:val="center"/>
          </w:tcPr>
          <w:p w14:paraId="18C36BD8">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a）应配备一定数量的系统管理员、审计管理员、安全管理员等；</w:t>
            </w:r>
          </w:p>
        </w:tc>
      </w:tr>
      <w:tr w14:paraId="1BB9C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D51518A">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2DB0CDFD">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5F4D404F">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b）应配备专职的安全管理员，不可兼任。</w:t>
            </w:r>
          </w:p>
        </w:tc>
      </w:tr>
      <w:tr w14:paraId="3962A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2ED6719">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37BE0923">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授权和审批</w:t>
            </w:r>
          </w:p>
        </w:tc>
        <w:tc>
          <w:tcPr>
            <w:tcW w:w="5949" w:type="dxa"/>
            <w:noWrap w:val="0"/>
            <w:vAlign w:val="center"/>
          </w:tcPr>
          <w:p w14:paraId="0ABB7312">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a）应根据各个部门和岗位的职责明确授权审批事项、审批部门和批准人等；</w:t>
            </w:r>
          </w:p>
        </w:tc>
      </w:tr>
      <w:tr w14:paraId="0639D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continue"/>
            <w:noWrap w:val="0"/>
            <w:vAlign w:val="center"/>
          </w:tcPr>
          <w:p w14:paraId="16E12751">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7AE3480A">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43CDBCA6">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b）应针对系统变更、重要操作、物理访问和系统接入等事项建立审批程序，按照审批程序执行审批过程，对重要活动建立逐级审批制度；</w:t>
            </w:r>
          </w:p>
        </w:tc>
      </w:tr>
      <w:tr w14:paraId="349AA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6EF3191">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4AB0F5D8">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B51F1F9">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c）应定期审查审批事项，及时更新授权和审批的项目、审批部门和审批人等信息。</w:t>
            </w:r>
          </w:p>
        </w:tc>
      </w:tr>
      <w:tr w14:paraId="0F5D02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continue"/>
            <w:noWrap w:val="0"/>
            <w:vAlign w:val="center"/>
          </w:tcPr>
          <w:p w14:paraId="5231A55B">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0E190F63">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沟通和合作</w:t>
            </w:r>
          </w:p>
        </w:tc>
        <w:tc>
          <w:tcPr>
            <w:tcW w:w="5949" w:type="dxa"/>
            <w:noWrap w:val="0"/>
            <w:vAlign w:val="center"/>
          </w:tcPr>
          <w:p w14:paraId="61CCA8F0">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a）应加强各类管理人员、组织内部机构和网络安全管理部门之间的合作与沟通，定期召开协调会议，共同协作处理网络安全问题。；</w:t>
            </w:r>
          </w:p>
        </w:tc>
      </w:tr>
      <w:tr w14:paraId="1146F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26C753CC">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3DF2C0A7">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1E074B2">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b）应加强与网络安全职能部门、各类供应商、业界专家及安全组织的合作与沟通；</w:t>
            </w:r>
          </w:p>
        </w:tc>
      </w:tr>
      <w:tr w14:paraId="48D1F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06294C0">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383B639A">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68617CDA">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c）应建立外联单位联系列表，包括外联单位名称、合作内容、联系人和联系方式等信息。</w:t>
            </w:r>
          </w:p>
        </w:tc>
      </w:tr>
      <w:tr w14:paraId="77C3E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561741B">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4772010B">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审核和检查</w:t>
            </w:r>
          </w:p>
        </w:tc>
        <w:tc>
          <w:tcPr>
            <w:tcW w:w="5949" w:type="dxa"/>
            <w:noWrap w:val="0"/>
            <w:vAlign w:val="center"/>
          </w:tcPr>
          <w:p w14:paraId="5BEE47DD">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a）应定期进行常规安全检查，检查内容包括系统日常运行、系统漏洞和数据备份等情况；</w:t>
            </w:r>
          </w:p>
        </w:tc>
      </w:tr>
      <w:tr w14:paraId="464C6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continue"/>
            <w:noWrap w:val="0"/>
            <w:vAlign w:val="center"/>
          </w:tcPr>
          <w:p w14:paraId="531949C0">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CB61AEA">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6388555F">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b）应定期进行全面安全检查，检查内容包括现有安全技术措施的有效性、安全配置和安全策略的一致性，安全管理制度的执行情况等；</w:t>
            </w:r>
          </w:p>
        </w:tc>
      </w:tr>
      <w:tr w14:paraId="2D91C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continue"/>
            <w:noWrap w:val="0"/>
            <w:vAlign w:val="center"/>
          </w:tcPr>
          <w:p w14:paraId="59F0695F">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96340B8">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12B01F7D">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c）应制定安全检查表格实施安全检查，汇总安全检查数据，形成安全检查报告，并对安全检查结果进行通报。</w:t>
            </w:r>
          </w:p>
        </w:tc>
      </w:tr>
      <w:tr w14:paraId="479C7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restart"/>
            <w:noWrap w:val="0"/>
            <w:vAlign w:val="center"/>
          </w:tcPr>
          <w:p w14:paraId="09CC0993">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安全管理人员</w:t>
            </w:r>
          </w:p>
        </w:tc>
        <w:tc>
          <w:tcPr>
            <w:tcW w:w="1520" w:type="dxa"/>
            <w:vMerge w:val="restart"/>
            <w:noWrap w:val="0"/>
            <w:vAlign w:val="center"/>
          </w:tcPr>
          <w:p w14:paraId="1BBDE1DA">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人员录用</w:t>
            </w:r>
          </w:p>
        </w:tc>
        <w:tc>
          <w:tcPr>
            <w:tcW w:w="5949" w:type="dxa"/>
            <w:noWrap w:val="0"/>
            <w:vAlign w:val="center"/>
          </w:tcPr>
          <w:p w14:paraId="56BA262D">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a）应指定或授权专门的部门或人员负责人员录用;</w:t>
            </w:r>
          </w:p>
        </w:tc>
      </w:tr>
      <w:tr w14:paraId="4EA87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continue"/>
            <w:noWrap w:val="0"/>
            <w:vAlign w:val="center"/>
          </w:tcPr>
          <w:p w14:paraId="27A1C238">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288A093E">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4061AD58">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b）应对被录用人的身份、安全背景、专业资格或资质等进行审查，对其所有的技术技能进行考核；</w:t>
            </w:r>
          </w:p>
        </w:tc>
      </w:tr>
      <w:tr w14:paraId="3F6FE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E212394">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23B49786">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0C94DCA5">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c）应与被录用人员签署保密协议，与关键岗位人员签署岗位责任协议。</w:t>
            </w:r>
          </w:p>
        </w:tc>
      </w:tr>
      <w:tr w14:paraId="73179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continue"/>
            <w:noWrap w:val="0"/>
            <w:vAlign w:val="center"/>
          </w:tcPr>
          <w:p w14:paraId="7BC3428C">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5AE1ECF1">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人员离岗</w:t>
            </w:r>
          </w:p>
        </w:tc>
        <w:tc>
          <w:tcPr>
            <w:tcW w:w="5949" w:type="dxa"/>
            <w:noWrap w:val="0"/>
            <w:vAlign w:val="center"/>
          </w:tcPr>
          <w:p w14:paraId="3C2DC31E">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a）应及时终止离岗人员的所有访问权限，取回各种身份证件、钥匙、徽章等以及机构提供的软硬件设备；</w:t>
            </w:r>
          </w:p>
        </w:tc>
      </w:tr>
      <w:tr w14:paraId="448F7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4B283C2">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10C461FE">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1624068C">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b）应办理严格的调离手续，并承诺调离后的保密义务方可离开。</w:t>
            </w:r>
          </w:p>
        </w:tc>
      </w:tr>
      <w:tr w14:paraId="6BF21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22F063FF">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2CE05477">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安全意识教育和培训</w:t>
            </w:r>
          </w:p>
        </w:tc>
        <w:tc>
          <w:tcPr>
            <w:tcW w:w="5949" w:type="dxa"/>
            <w:noWrap w:val="0"/>
            <w:vAlign w:val="center"/>
          </w:tcPr>
          <w:p w14:paraId="733B65F9">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a）应对各类人员进行安全意识教育和岗位技能培训，并告知相关的安全责任和惩戒措施；</w:t>
            </w:r>
          </w:p>
        </w:tc>
      </w:tr>
      <w:tr w14:paraId="6B8BB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01E21B3C">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02BC6BD7">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14F75618">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b）应针对不同岗位制定不同的培训计划，对安全基础知识，岗位操作规程等进行培训；</w:t>
            </w:r>
          </w:p>
        </w:tc>
      </w:tr>
      <w:tr w14:paraId="30F01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023AAD3">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2085929">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72F4EC3">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c）应定期对不同岗位的人员进行技能考核。</w:t>
            </w:r>
          </w:p>
        </w:tc>
      </w:tr>
      <w:tr w14:paraId="6D6DF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592AB24">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600734FF">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外部人员访问</w:t>
            </w:r>
            <w:r>
              <w:rPr>
                <w:rFonts w:hint="eastAsia" w:ascii="宋体" w:hAnsi="宋体" w:eastAsia="宋体" w:cs="宋体"/>
                <w:color w:val="auto"/>
                <w:sz w:val="21"/>
                <w:szCs w:val="21"/>
                <w:lang w:val="zh-CN"/>
              </w:rPr>
              <w:br w:type="textWrapping"/>
            </w:r>
            <w:r>
              <w:rPr>
                <w:rFonts w:hint="eastAsia" w:ascii="宋体" w:hAnsi="宋体" w:eastAsia="宋体" w:cs="宋体"/>
                <w:color w:val="auto"/>
                <w:sz w:val="21"/>
                <w:szCs w:val="21"/>
                <w:lang w:val="zh-CN"/>
              </w:rPr>
              <w:t>管理</w:t>
            </w:r>
          </w:p>
        </w:tc>
        <w:tc>
          <w:tcPr>
            <w:tcW w:w="5949" w:type="dxa"/>
            <w:noWrap w:val="0"/>
            <w:vAlign w:val="center"/>
          </w:tcPr>
          <w:p w14:paraId="10A32CBA">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a）应在外部人员物理访问受控区域前先提出书面申请，批准后由专人全程陪同，并登记备案；</w:t>
            </w:r>
          </w:p>
        </w:tc>
      </w:tr>
      <w:tr w14:paraId="423E7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continue"/>
            <w:noWrap w:val="0"/>
            <w:vAlign w:val="center"/>
          </w:tcPr>
          <w:p w14:paraId="166203EA">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7F15475">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0760ABAF">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b）应在外部人员接入受控网络访问系统前先提出书面申请，批准后由专人开设账户，分配权限，并登记备案；</w:t>
            </w:r>
          </w:p>
        </w:tc>
      </w:tr>
      <w:tr w14:paraId="1AA0F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B4FD1C5">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D799415">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3FAD658D">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 外部人员离场后应及时清除其所有的访问权限；</w:t>
            </w:r>
          </w:p>
        </w:tc>
      </w:tr>
      <w:tr w14:paraId="2FCB1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continue"/>
            <w:noWrap w:val="0"/>
            <w:vAlign w:val="center"/>
          </w:tcPr>
          <w:p w14:paraId="26E8A84C">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39B5892F">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66F1D2C9">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d）获得系统访问授权的外部人员签署保密协议，不得进行非授权操作，不得复制和泄露敏感信息。</w:t>
            </w:r>
          </w:p>
        </w:tc>
      </w:tr>
      <w:tr w14:paraId="16787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restart"/>
            <w:noWrap w:val="0"/>
            <w:vAlign w:val="center"/>
          </w:tcPr>
          <w:p w14:paraId="4A33F986">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安全建设管理</w:t>
            </w:r>
          </w:p>
        </w:tc>
        <w:tc>
          <w:tcPr>
            <w:tcW w:w="1520" w:type="dxa"/>
            <w:vMerge w:val="restart"/>
            <w:noWrap w:val="0"/>
            <w:vAlign w:val="center"/>
          </w:tcPr>
          <w:p w14:paraId="1D7A69FA">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定级和备案</w:t>
            </w:r>
          </w:p>
        </w:tc>
        <w:tc>
          <w:tcPr>
            <w:tcW w:w="5949" w:type="dxa"/>
            <w:noWrap w:val="0"/>
            <w:vAlign w:val="center"/>
          </w:tcPr>
          <w:p w14:paraId="33C7890B">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a）应以书面的形式说明保护对象的安全保护等级及确定安全保护等级的方法和理由；</w:t>
            </w:r>
          </w:p>
        </w:tc>
      </w:tr>
      <w:tr w14:paraId="1D6FD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7372097">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0D24DC5F">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00D3B7B1">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b）应组织相关部门和有关安全技术专家对定级结果的合理性和正确性进行论证和审定；</w:t>
            </w:r>
          </w:p>
        </w:tc>
      </w:tr>
      <w:tr w14:paraId="1EBFB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2BB3780">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276646CB">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32B165CB">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c）应保证定级结果经过相关部门的批准；</w:t>
            </w:r>
          </w:p>
        </w:tc>
      </w:tr>
      <w:tr w14:paraId="1E269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232A521F">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1B443742">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031A1457">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d)应将备案材料报主管部门和相应公安机关备案</w:t>
            </w:r>
          </w:p>
        </w:tc>
      </w:tr>
      <w:tr w14:paraId="6943D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0447165">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25CEFDA7">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安全方案设计</w:t>
            </w:r>
          </w:p>
        </w:tc>
        <w:tc>
          <w:tcPr>
            <w:tcW w:w="5949" w:type="dxa"/>
            <w:noWrap w:val="0"/>
            <w:vAlign w:val="center"/>
          </w:tcPr>
          <w:p w14:paraId="2FE80A16">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a）应根据安全保护等级选择基本安全措施，依据风险分析的结果补充和调整安全措施；</w:t>
            </w:r>
          </w:p>
        </w:tc>
      </w:tr>
      <w:tr w14:paraId="05B3F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continue"/>
            <w:noWrap w:val="0"/>
            <w:vAlign w:val="center"/>
          </w:tcPr>
          <w:p w14:paraId="5E1AED4B">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17FC7448">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0E6530D">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b）应根据保护对象的安全保护等级及与其他级别对象的关系进行安全整体规划和安全方案设计，设计内容应包含密码技术相关内容、并形成配套文件；</w:t>
            </w:r>
          </w:p>
        </w:tc>
      </w:tr>
      <w:tr w14:paraId="0DDA8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continue"/>
            <w:noWrap w:val="0"/>
            <w:vAlign w:val="center"/>
          </w:tcPr>
          <w:p w14:paraId="744EF19D">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62783441">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36BC94D3">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c）应组织相关部门和有关安全技术专家对整体安全规划及其配套文件的合理性和正确性进行论证和审定，经过批准后才能正式实施。</w:t>
            </w:r>
          </w:p>
        </w:tc>
      </w:tr>
      <w:tr w14:paraId="23091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C46E8B0">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6E42AD8C">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产品采购和</w:t>
            </w:r>
          </w:p>
          <w:p w14:paraId="67871527">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使用</w:t>
            </w:r>
          </w:p>
        </w:tc>
        <w:tc>
          <w:tcPr>
            <w:tcW w:w="5949" w:type="dxa"/>
            <w:noWrap w:val="0"/>
            <w:vAlign w:val="center"/>
          </w:tcPr>
          <w:p w14:paraId="5171B621">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a）应确保网络安全产品采购和使用符合国家的有关规定；</w:t>
            </w:r>
          </w:p>
        </w:tc>
      </w:tr>
      <w:tr w14:paraId="3D07A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7C453222">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249BBB11">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3516FFF0">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b）应确保密码产品与服务的采购和使用符合国家密码管理主管部门的要求；</w:t>
            </w:r>
          </w:p>
        </w:tc>
      </w:tr>
      <w:tr w14:paraId="133C1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C50B007">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4004604E">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83F4979">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c)应预先对产品进行选型测试，确定产品的候选范围，并定期审定和更新产品候选名单。</w:t>
            </w:r>
          </w:p>
        </w:tc>
      </w:tr>
      <w:tr w14:paraId="460EB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5E99C828">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09B413B9">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自行软件开发</w:t>
            </w:r>
          </w:p>
        </w:tc>
        <w:tc>
          <w:tcPr>
            <w:tcW w:w="5949" w:type="dxa"/>
            <w:noWrap w:val="0"/>
            <w:vAlign w:val="center"/>
          </w:tcPr>
          <w:p w14:paraId="66834328">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a）应将开发环境与实际运行环境物理分开，测试数据和测试结果受到控制；</w:t>
            </w:r>
          </w:p>
        </w:tc>
      </w:tr>
      <w:tr w14:paraId="2577A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2F9F26A1">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39808CD4">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142E9CB9">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b）应制定软件开发管理制度，明确说明开发过程的控制方法和人员行为准则；</w:t>
            </w:r>
          </w:p>
        </w:tc>
      </w:tr>
      <w:tr w14:paraId="2B8E8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2223B1F">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405BF9F6">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6F0953ED">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c）应制定代码编写安全规范，要求开发人员参照规范编写代码；</w:t>
            </w:r>
          </w:p>
        </w:tc>
      </w:tr>
      <w:tr w14:paraId="10666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2221BE9B">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776EC97C">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4A6B0775">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d）应具备软件设计的相关文档和使用指南，并对文档使用进行控制；</w:t>
            </w:r>
          </w:p>
        </w:tc>
      </w:tr>
      <w:tr w14:paraId="3FF5A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FE70AD1">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12AB71B9">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0F189850">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e）应保证在软件开发过程中对安全性进行测试，在软件安装前对可能存在的恶意代码进行检测；</w:t>
            </w:r>
          </w:p>
        </w:tc>
      </w:tr>
      <w:tr w14:paraId="2C8CE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68CE473">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1722BE62">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7A0F4DD">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f）应对程序资源库的修改、更新，发布进行授权和批准，并严格进行版本控制；</w:t>
            </w:r>
          </w:p>
        </w:tc>
      </w:tr>
      <w:tr w14:paraId="0C522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22EF115D">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231E54A">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36A697C9">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g）应保证开发人员为专职人员，开发人员的开发活动受到控制，监视和审查。</w:t>
            </w:r>
          </w:p>
        </w:tc>
      </w:tr>
      <w:tr w14:paraId="23335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0007ED28">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561EB5D8">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外包软件开发</w:t>
            </w:r>
          </w:p>
        </w:tc>
        <w:tc>
          <w:tcPr>
            <w:tcW w:w="5949" w:type="dxa"/>
            <w:noWrap w:val="0"/>
            <w:vAlign w:val="center"/>
          </w:tcPr>
          <w:p w14:paraId="231C3910">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a）应在软件交付前检测其中可能存在的恶意代码；</w:t>
            </w:r>
          </w:p>
        </w:tc>
      </w:tr>
      <w:tr w14:paraId="1BF60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0954FD7E">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1FF872C3">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75A7417">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b）应保证开发单位提供软件设计文档和使用指南；</w:t>
            </w:r>
          </w:p>
        </w:tc>
      </w:tr>
      <w:tr w14:paraId="3FF73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053" w:type="dxa"/>
            <w:vMerge w:val="continue"/>
            <w:noWrap w:val="0"/>
            <w:vAlign w:val="center"/>
          </w:tcPr>
          <w:p w14:paraId="552E3723">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6BC85791">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6ABA74AF">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c）应保证开发单位提供软件源代码，并审查软件中可能存在的后面和隐蔽信道。</w:t>
            </w:r>
          </w:p>
        </w:tc>
      </w:tr>
      <w:tr w14:paraId="68773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7EEB505B">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39E81DAF">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工程实施</w:t>
            </w:r>
          </w:p>
        </w:tc>
        <w:tc>
          <w:tcPr>
            <w:tcW w:w="5949" w:type="dxa"/>
            <w:noWrap w:val="0"/>
            <w:vAlign w:val="center"/>
          </w:tcPr>
          <w:p w14:paraId="17A1F99E">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a）应指定或授权专门的部门或人员负责工程实施过程的管理；</w:t>
            </w:r>
          </w:p>
        </w:tc>
      </w:tr>
      <w:tr w14:paraId="0265D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7311A3AC">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1C11C731">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65DBAFA6">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b）应制定安全工程实施方案控制实施过程；</w:t>
            </w:r>
          </w:p>
        </w:tc>
      </w:tr>
      <w:tr w14:paraId="4E299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5194EA80">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2175C048">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674C96AD">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c）应通过第三方工程监理控制项目的实施过程。</w:t>
            </w:r>
          </w:p>
        </w:tc>
      </w:tr>
      <w:tr w14:paraId="79937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053" w:type="dxa"/>
            <w:vMerge w:val="continue"/>
            <w:noWrap w:val="0"/>
            <w:vAlign w:val="center"/>
          </w:tcPr>
          <w:p w14:paraId="688C4D84">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78EC2697">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测试验收</w:t>
            </w:r>
          </w:p>
        </w:tc>
        <w:tc>
          <w:tcPr>
            <w:tcW w:w="5949" w:type="dxa"/>
            <w:noWrap w:val="0"/>
            <w:vAlign w:val="center"/>
          </w:tcPr>
          <w:p w14:paraId="0F2D7FA1">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a）应制订测试验收方案，并依据测试验收方案实施测试验收，形成测试验收报告；</w:t>
            </w:r>
          </w:p>
        </w:tc>
      </w:tr>
      <w:tr w14:paraId="6FCDA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1053" w:type="dxa"/>
            <w:vMerge w:val="continue"/>
            <w:noWrap w:val="0"/>
            <w:vAlign w:val="center"/>
          </w:tcPr>
          <w:p w14:paraId="173F9C33">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7D30E9E4">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01EA07F9">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b）应进行上线前的安全性测试，并出具安全测试报告，安全测试报告应包含密码应用安全性安全测试内容。</w:t>
            </w:r>
          </w:p>
        </w:tc>
      </w:tr>
      <w:tr w14:paraId="6F938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rPr>
        <w:tc>
          <w:tcPr>
            <w:tcW w:w="1053" w:type="dxa"/>
            <w:vMerge w:val="continue"/>
            <w:noWrap w:val="0"/>
            <w:vAlign w:val="center"/>
          </w:tcPr>
          <w:p w14:paraId="40FA1417">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3D36FC08">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系统交付</w:t>
            </w:r>
          </w:p>
        </w:tc>
        <w:tc>
          <w:tcPr>
            <w:tcW w:w="5949" w:type="dxa"/>
            <w:noWrap w:val="0"/>
            <w:vAlign w:val="center"/>
          </w:tcPr>
          <w:p w14:paraId="512C0518">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a）应制定交付清单，并根据交付清单对所交接的设备、软件和文档等进行清点；</w:t>
            </w:r>
          </w:p>
        </w:tc>
      </w:tr>
      <w:tr w14:paraId="4EAD3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79BE9E6">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6E7ED3C">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53656FD0">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b）应对负责系统运行维护的技术人员进行相应的技能培训；</w:t>
            </w:r>
          </w:p>
        </w:tc>
      </w:tr>
      <w:tr w14:paraId="4E2DB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0605CED">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335F1AF5">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5CBD44AE">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c）应提供建设过程文档和运行维护文档。</w:t>
            </w:r>
          </w:p>
        </w:tc>
      </w:tr>
      <w:tr w14:paraId="1190F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04F8D7F">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1EA3E2A1">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等级测评</w:t>
            </w:r>
          </w:p>
        </w:tc>
        <w:tc>
          <w:tcPr>
            <w:tcW w:w="5949" w:type="dxa"/>
            <w:noWrap w:val="0"/>
            <w:vAlign w:val="center"/>
          </w:tcPr>
          <w:p w14:paraId="1E728381">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a）应定期进行等级测评，发现不符合相应等级保护标准要求的及时整改；</w:t>
            </w:r>
          </w:p>
        </w:tc>
      </w:tr>
      <w:tr w14:paraId="22850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514106B0">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593FE3FB">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295750AC">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b）在发生重大变化或级别发生时进行等级测评；</w:t>
            </w:r>
          </w:p>
        </w:tc>
      </w:tr>
      <w:tr w14:paraId="6CF51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95910EE">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2CEA12F5">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A987DC4">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c）应确保测评机构的选择符合国家相关规定。</w:t>
            </w:r>
          </w:p>
        </w:tc>
      </w:tr>
      <w:tr w14:paraId="177D6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78F353C9">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restart"/>
            <w:noWrap w:val="0"/>
            <w:vAlign w:val="center"/>
          </w:tcPr>
          <w:p w14:paraId="640842B0">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服务供应商管理</w:t>
            </w:r>
          </w:p>
        </w:tc>
        <w:tc>
          <w:tcPr>
            <w:tcW w:w="5949" w:type="dxa"/>
            <w:noWrap w:val="0"/>
            <w:vAlign w:val="center"/>
          </w:tcPr>
          <w:p w14:paraId="0AE4E510">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a）应确保服务供应商的选择符合国家的有关规定；</w:t>
            </w:r>
          </w:p>
        </w:tc>
      </w:tr>
      <w:tr w14:paraId="2C2F5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C8ADE74">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0460CCC5">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3ECC5D7E">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b）应与选定的</w:t>
            </w:r>
            <w:r>
              <w:rPr>
                <w:rFonts w:hint="eastAsia" w:ascii="宋体" w:hAnsi="宋体" w:cs="宋体"/>
                <w:color w:val="auto"/>
                <w:sz w:val="21"/>
                <w:szCs w:val="21"/>
                <w:lang w:val="zh-CN"/>
              </w:rPr>
              <w:t>供应商</w:t>
            </w:r>
            <w:r>
              <w:rPr>
                <w:rFonts w:hint="eastAsia" w:ascii="宋体" w:hAnsi="宋体" w:eastAsia="宋体" w:cs="宋体"/>
                <w:color w:val="auto"/>
                <w:sz w:val="21"/>
                <w:szCs w:val="21"/>
                <w:lang w:val="zh-CN"/>
              </w:rPr>
              <w:t>签订相关协议，明确整个服务供应链各方需履行的网络安全相关义务；</w:t>
            </w:r>
          </w:p>
        </w:tc>
      </w:tr>
      <w:tr w14:paraId="6BA0C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40EA493">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p>
        </w:tc>
        <w:tc>
          <w:tcPr>
            <w:tcW w:w="1520" w:type="dxa"/>
            <w:vMerge w:val="continue"/>
            <w:noWrap w:val="0"/>
            <w:vAlign w:val="center"/>
          </w:tcPr>
          <w:p w14:paraId="644E3C0E">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4D7E8178">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c）应定期监督、评审和审核服务供应商提供的服务，并对其变更服务进行控制。</w:t>
            </w:r>
          </w:p>
        </w:tc>
      </w:tr>
      <w:tr w14:paraId="3F39F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restart"/>
            <w:noWrap w:val="0"/>
            <w:vAlign w:val="center"/>
          </w:tcPr>
          <w:p w14:paraId="60BA28F7">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安全运维管理</w:t>
            </w:r>
          </w:p>
        </w:tc>
        <w:tc>
          <w:tcPr>
            <w:tcW w:w="1520" w:type="dxa"/>
            <w:vMerge w:val="restart"/>
            <w:noWrap w:val="0"/>
            <w:vAlign w:val="center"/>
          </w:tcPr>
          <w:p w14:paraId="52B1B7A6">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环境管理</w:t>
            </w:r>
          </w:p>
        </w:tc>
        <w:tc>
          <w:tcPr>
            <w:tcW w:w="5949" w:type="dxa"/>
            <w:noWrap w:val="0"/>
            <w:vAlign w:val="center"/>
          </w:tcPr>
          <w:p w14:paraId="1101ADE1">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a）应指定专门的部门或人员负责机房安全，对机房出入进行管理，定期对机房供配电、空调、温湿度控制、消防等设施进行维护管理；</w:t>
            </w:r>
          </w:p>
        </w:tc>
      </w:tr>
      <w:tr w14:paraId="63000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1F7DB83B">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7C6AE4DC">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559DD7C7">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b）应建立机房安全管理制度，对有关物理访问，物品带进带出和环境安全等方面的管理作出规定；</w:t>
            </w:r>
          </w:p>
        </w:tc>
      </w:tr>
      <w:tr w14:paraId="2CE2A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587DE18">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5AF1245D">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6D4102CD">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c）应不在重要区域接待来访人员，不随意放置包含敏感信息的纸质文件和移动介质。</w:t>
            </w:r>
          </w:p>
        </w:tc>
      </w:tr>
      <w:tr w14:paraId="273CA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5CF9DB53">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restart"/>
            <w:noWrap w:val="0"/>
            <w:vAlign w:val="center"/>
          </w:tcPr>
          <w:p w14:paraId="41FB0942">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资产管理</w:t>
            </w:r>
          </w:p>
        </w:tc>
        <w:tc>
          <w:tcPr>
            <w:tcW w:w="5949" w:type="dxa"/>
            <w:noWrap w:val="0"/>
            <w:vAlign w:val="center"/>
          </w:tcPr>
          <w:p w14:paraId="64DFE5F0">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a）应编制并保存与信息系统相关的资产清单，包括资产责任部门、重要程度和所处位置等内容；</w:t>
            </w:r>
          </w:p>
        </w:tc>
      </w:tr>
      <w:tr w14:paraId="43AE3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52823CE7">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3E386274">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3AECAB6F">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b）应根据资产的重要程度对资产进行标识管理，根据资产的价值选择相应的管理措施；</w:t>
            </w:r>
          </w:p>
        </w:tc>
      </w:tr>
      <w:tr w14:paraId="7646D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29FF35D9">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3394394B">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47A479E1">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c）应对信息分类与标识方法做出规定，并对信息的使用，传输和存储等进行规范化管理。</w:t>
            </w:r>
          </w:p>
        </w:tc>
      </w:tr>
      <w:tr w14:paraId="308AF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36A6C80F">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restart"/>
            <w:noWrap w:val="0"/>
            <w:vAlign w:val="center"/>
          </w:tcPr>
          <w:p w14:paraId="35691000">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介质管理</w:t>
            </w:r>
          </w:p>
        </w:tc>
        <w:tc>
          <w:tcPr>
            <w:tcW w:w="5949" w:type="dxa"/>
            <w:noWrap w:val="0"/>
            <w:vAlign w:val="center"/>
          </w:tcPr>
          <w:p w14:paraId="35C88E5B">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a）应将介质存放在安全的环境中，对各类介质进行控制和保护，实行存储环境专人管理并根据存档介质的目录清单定期盘点；</w:t>
            </w:r>
          </w:p>
        </w:tc>
      </w:tr>
      <w:tr w14:paraId="42ADA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56145A30">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548CE578">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365E72DA">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b）应对介质在物理传输过程中的人员选择、打包、交付等情况进行控制，并对介质归档和查询等进行登记记录。</w:t>
            </w:r>
          </w:p>
        </w:tc>
      </w:tr>
      <w:tr w14:paraId="7B045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F595660">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restart"/>
            <w:noWrap w:val="0"/>
            <w:vAlign w:val="center"/>
          </w:tcPr>
          <w:p w14:paraId="1519833B">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设备维护管理</w:t>
            </w:r>
          </w:p>
        </w:tc>
        <w:tc>
          <w:tcPr>
            <w:tcW w:w="5949" w:type="dxa"/>
            <w:noWrap w:val="0"/>
            <w:vAlign w:val="center"/>
          </w:tcPr>
          <w:p w14:paraId="0FCA08AA">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a）应对各种设备（包括备份和冗余设备）、线路等指定专门的部门或人员定期进行维护管理；</w:t>
            </w:r>
          </w:p>
        </w:tc>
      </w:tr>
      <w:tr w14:paraId="4D175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73F09347">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38DADF58">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54CADB38">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b）应建立配套设施、软硬件维护方面的管理制度，对其维护进行有效的管理，包括明确维护人员的责任、维修和服务的审批、维修过程的监督控制等；</w:t>
            </w:r>
          </w:p>
        </w:tc>
      </w:tr>
      <w:tr w14:paraId="6F5EE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239EFC29">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194CB006">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31AB644E">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c）信息处理设备应经过审批才能带离机房或办公地点，含有储存介质的设备带出工作环境时其重要数据应加密；</w:t>
            </w:r>
          </w:p>
        </w:tc>
      </w:tr>
      <w:tr w14:paraId="6100D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09624773">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6E76C567">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2E14D099">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d）含有存储介质的设备在报废或重用前，应进行完全清除或完全覆盖，保证该设备上的敏感数据和授权软件无法被恢复重用。</w:t>
            </w:r>
          </w:p>
        </w:tc>
      </w:tr>
      <w:tr w14:paraId="5F544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59BB4ADB">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restart"/>
            <w:noWrap w:val="0"/>
            <w:vAlign w:val="center"/>
          </w:tcPr>
          <w:p w14:paraId="214653CD">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漏洞和风险管理</w:t>
            </w:r>
          </w:p>
        </w:tc>
        <w:tc>
          <w:tcPr>
            <w:tcW w:w="5949" w:type="dxa"/>
            <w:noWrap w:val="0"/>
            <w:vAlign w:val="center"/>
          </w:tcPr>
          <w:p w14:paraId="0DF5D8F5">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a）应采取必要的措施识别安全漏洞和隐患，对发现的安全漏洞和隐患及时进行修补或评估可能的影响后进行修补；</w:t>
            </w:r>
          </w:p>
        </w:tc>
      </w:tr>
      <w:tr w14:paraId="1C6D6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0C926DA4">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60096A39">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31D1C545">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b)应定期开展安全测评，形成安全测评报告，采取措施应对发现的安全问题。</w:t>
            </w:r>
          </w:p>
        </w:tc>
      </w:tr>
      <w:tr w14:paraId="6CC86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7A618F86">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restart"/>
            <w:noWrap w:val="0"/>
            <w:vAlign w:val="center"/>
          </w:tcPr>
          <w:p w14:paraId="3709F7A4">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网络和系统安全管理</w:t>
            </w:r>
          </w:p>
        </w:tc>
        <w:tc>
          <w:tcPr>
            <w:tcW w:w="5949" w:type="dxa"/>
            <w:noWrap w:val="0"/>
            <w:vAlign w:val="center"/>
          </w:tcPr>
          <w:p w14:paraId="4AB4774B">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a）应划分不同的管理员角色进行网络和系统的运维管理，明确各个角色的责任和权限；</w:t>
            </w:r>
          </w:p>
        </w:tc>
      </w:tr>
      <w:tr w14:paraId="297E5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7C055264">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2DDC7E93">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58F5A1D1">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b）应指定专门的部门或人员进行账户管理，对申请账户，建立账户、删除账户等进行控制；</w:t>
            </w:r>
          </w:p>
        </w:tc>
      </w:tr>
      <w:tr w14:paraId="6772F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3B3174D5">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0D940D63">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2D1E325E">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c）应建立网络和系统安全管理制度，对安全策略、账户管理、配置管理、日志管理、日常操作、升级与打补丁、口令更新周期等方面作出规定；</w:t>
            </w:r>
          </w:p>
        </w:tc>
      </w:tr>
      <w:tr w14:paraId="424CC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2AF96EC8">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4D2878FD">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18693E94">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d）应制定重要设备的配置和操作手册，依据手册对设备进行安全配置和优化配置等；</w:t>
            </w:r>
          </w:p>
        </w:tc>
      </w:tr>
      <w:tr w14:paraId="2AC76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F60C1AB">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521CCEFB">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58FC25D">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e）应详细记录运维操作日志，包括日常巡检工作，运行维护记录、参数的设置和修改的内容；</w:t>
            </w:r>
          </w:p>
        </w:tc>
      </w:tr>
      <w:tr w14:paraId="031EE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8269312">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7AD400B7">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24F199F4">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f）应指定专门的部门或人员对日志、监测和报警数据等进行分析、统计，及时发现可疑行为；</w:t>
            </w:r>
          </w:p>
        </w:tc>
      </w:tr>
      <w:tr w14:paraId="1B753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1ADF9D01">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1554311B">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3FB0571">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g）应严格控制变更性运维，经过审批后才可改变连接，安装系统组件或调整配置参数，操作过程中应保留不可更改的审计日志，操作结束后应同步配置更新配置信息库；</w:t>
            </w:r>
          </w:p>
        </w:tc>
      </w:tr>
      <w:tr w14:paraId="39FA5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029C99FA">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50535ADC">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23217407">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H）应严格控制运维工具的使用，经过审批后才可接入进行操作，操作过程中应保留不可更改的审计日志，操作结束后应删除工具中的敏感数据；</w:t>
            </w:r>
          </w:p>
        </w:tc>
      </w:tr>
      <w:tr w14:paraId="18799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2CEE6A6F">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0732D022">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07B7BFF6">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i）应严格控制远程运维的开通，经过审批后才可开通远程运维接口或通道，操作过程中应保留不可更改的审计日志，操作结束后立即关闭接口或通道；</w:t>
            </w:r>
          </w:p>
        </w:tc>
      </w:tr>
      <w:tr w14:paraId="1AC9B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391C4BFA">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32883392">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00CBAF02">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j）应保证所有与外部的连接均得到授权和批准，应定期检查违反规定无线上网及其他违反网络安全策略行为。</w:t>
            </w:r>
          </w:p>
        </w:tc>
      </w:tr>
      <w:tr w14:paraId="6E671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4F117D8C">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restart"/>
            <w:noWrap w:val="0"/>
            <w:vAlign w:val="center"/>
          </w:tcPr>
          <w:p w14:paraId="5B72AEFB">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恶意代码防范管理</w:t>
            </w:r>
          </w:p>
        </w:tc>
        <w:tc>
          <w:tcPr>
            <w:tcW w:w="5949" w:type="dxa"/>
            <w:noWrap w:val="0"/>
            <w:vAlign w:val="center"/>
          </w:tcPr>
          <w:p w14:paraId="3CFC4DE3">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a）应提高所有用户的防恶意代码意识，对外来计算机或存储设备接入系统前进行恶意代码检查等；</w:t>
            </w:r>
          </w:p>
        </w:tc>
      </w:tr>
      <w:tr w14:paraId="2B1C7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E722F3B">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65603DB0">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247A140A">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b）应定期验证防范恶意代码攻击的技术措施的有效性。</w:t>
            </w:r>
          </w:p>
        </w:tc>
      </w:tr>
      <w:tr w14:paraId="1AD96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1471635E">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restart"/>
            <w:noWrap w:val="0"/>
            <w:vAlign w:val="center"/>
          </w:tcPr>
          <w:p w14:paraId="6A5D2C3A">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配置管理</w:t>
            </w:r>
          </w:p>
        </w:tc>
        <w:tc>
          <w:tcPr>
            <w:tcW w:w="5949" w:type="dxa"/>
            <w:noWrap w:val="0"/>
            <w:vAlign w:val="center"/>
          </w:tcPr>
          <w:p w14:paraId="2CEC3CB0">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a）应记录和保存基本配置信息，包括网络拓扑结构、各类设备安装的软件组件、软件组件的版本和补丁信息、各个设备或软件组件的配置参数等；</w:t>
            </w:r>
          </w:p>
        </w:tc>
      </w:tr>
      <w:tr w14:paraId="459EF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3657E45">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44A51E2E">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304571E7">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b)应将基本信息改变纳入变更范畴，实施对配置信息改变的控制，并及时更新基本配置信息库。</w:t>
            </w:r>
          </w:p>
        </w:tc>
      </w:tr>
      <w:tr w14:paraId="35AB5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CD56C75">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restart"/>
            <w:noWrap w:val="0"/>
            <w:vAlign w:val="center"/>
          </w:tcPr>
          <w:p w14:paraId="55B91772">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密码管理</w:t>
            </w:r>
          </w:p>
        </w:tc>
        <w:tc>
          <w:tcPr>
            <w:tcW w:w="5949" w:type="dxa"/>
            <w:noWrap w:val="0"/>
            <w:vAlign w:val="center"/>
          </w:tcPr>
          <w:p w14:paraId="55F6663D">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a）应遵循密码相关国家标准和行业标准；</w:t>
            </w:r>
          </w:p>
        </w:tc>
      </w:tr>
      <w:tr w14:paraId="6991B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292BA5DF">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61577856">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6409F04E">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b）应使用国家密码管理主管部门认证核准的密码技术和产品。</w:t>
            </w:r>
          </w:p>
        </w:tc>
      </w:tr>
      <w:tr w14:paraId="2E9B3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28052FE8">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restart"/>
            <w:noWrap w:val="0"/>
            <w:vAlign w:val="center"/>
          </w:tcPr>
          <w:p w14:paraId="4D1AE2F0">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变更管理</w:t>
            </w:r>
          </w:p>
        </w:tc>
        <w:tc>
          <w:tcPr>
            <w:tcW w:w="5949" w:type="dxa"/>
            <w:noWrap w:val="0"/>
            <w:vAlign w:val="center"/>
          </w:tcPr>
          <w:p w14:paraId="594F3AF8">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a）应明确变更需求，变更前根据变更需求制定变更方案、变更方案经过评审、审批后方可实施；</w:t>
            </w:r>
          </w:p>
        </w:tc>
      </w:tr>
      <w:tr w14:paraId="136AC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27EF2CAB">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6118808A">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16567238">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b）应建立变更的申报和审批控制程序，依据程序控制所有的变更，记录变更实施过程；</w:t>
            </w:r>
          </w:p>
        </w:tc>
      </w:tr>
      <w:tr w14:paraId="47414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52863B7D">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73FE2DAB">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45235B50">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c）应建立终止变更并从失败的变更中恢复的程序，明确过程控制方法和人员职责，必要时对恢复过程进行演练。</w:t>
            </w:r>
          </w:p>
        </w:tc>
      </w:tr>
      <w:tr w14:paraId="62048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9BCA582">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restart"/>
            <w:noWrap w:val="0"/>
            <w:vAlign w:val="center"/>
          </w:tcPr>
          <w:p w14:paraId="2405D54F">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备份与恢复管理</w:t>
            </w:r>
          </w:p>
        </w:tc>
        <w:tc>
          <w:tcPr>
            <w:tcW w:w="5949" w:type="dxa"/>
            <w:noWrap w:val="0"/>
            <w:vAlign w:val="center"/>
          </w:tcPr>
          <w:p w14:paraId="6A19A9F0">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a）应识别需要定期备份的重要业务信息、系统数据及软件系统等；</w:t>
            </w:r>
          </w:p>
        </w:tc>
      </w:tr>
      <w:tr w14:paraId="7603B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6F704B95">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44608F46">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353D3625">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b）应规定备份信息的备份方式、备份频度、存储介质和保存期等；</w:t>
            </w:r>
          </w:p>
        </w:tc>
      </w:tr>
      <w:tr w14:paraId="0EFA4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2A1CE7F3">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6079D9D1">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001CF63A">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c）应根据数据的重要性和数据对系统运行的影响，制定数据的备份策略和恢复策略，备份程序和恢复程序等。</w:t>
            </w:r>
          </w:p>
        </w:tc>
      </w:tr>
      <w:tr w14:paraId="4BDCA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33E2209F">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restart"/>
            <w:noWrap w:val="0"/>
            <w:vAlign w:val="center"/>
          </w:tcPr>
          <w:p w14:paraId="7F631778">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安全事件处置</w:t>
            </w:r>
          </w:p>
        </w:tc>
        <w:tc>
          <w:tcPr>
            <w:tcW w:w="5949" w:type="dxa"/>
            <w:noWrap w:val="0"/>
            <w:vAlign w:val="center"/>
          </w:tcPr>
          <w:p w14:paraId="12D27A23">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a）应及时向安全管理部门报告所发现的安全弱点和可疑事件；</w:t>
            </w:r>
          </w:p>
        </w:tc>
      </w:tr>
      <w:tr w14:paraId="7A4A8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56EE80C5">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54CB7B8D">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4F9BD401">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b）应制定安全事件报告和处置管理制度，明确不同安全事件的报告、处置和响应流程，规定安全事件的现场处理、事件报告和后期恢复的管理职责等；</w:t>
            </w:r>
          </w:p>
        </w:tc>
      </w:tr>
      <w:tr w14:paraId="2D13D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7629BEC9">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229EF62A">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7740C72C">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c）应在安全事件和响应处理过程中，分析和鉴定事件产生的原因，收集证据，记录处理过程，总结经验教训；</w:t>
            </w:r>
          </w:p>
        </w:tc>
      </w:tr>
      <w:tr w14:paraId="20130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442D78A3">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3EA0B3E7">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4B832ED6">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D）对造成系统中断和造成信息泄露的重大安全事件应采用不同的处理程序和报告程序。</w:t>
            </w:r>
          </w:p>
        </w:tc>
      </w:tr>
      <w:tr w14:paraId="3E29C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27E4BD78">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restart"/>
            <w:noWrap w:val="0"/>
            <w:vAlign w:val="center"/>
          </w:tcPr>
          <w:p w14:paraId="0D44736B">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应急预案管理</w:t>
            </w:r>
          </w:p>
        </w:tc>
        <w:tc>
          <w:tcPr>
            <w:tcW w:w="5949" w:type="dxa"/>
            <w:noWrap w:val="0"/>
            <w:vAlign w:val="center"/>
          </w:tcPr>
          <w:p w14:paraId="602759EB">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a)应规定统一的应急预案框架，包括启动预案的条件，应急组织构成，应急资源保障，事后教育和培训等内容；</w:t>
            </w:r>
          </w:p>
        </w:tc>
      </w:tr>
      <w:tr w14:paraId="35D90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ABBBD02">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70529DBD">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49D0B244">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b）应制定重要事件的应急预案，包括应急处理流程、系统恢复流程等内容；</w:t>
            </w:r>
          </w:p>
        </w:tc>
      </w:tr>
      <w:tr w14:paraId="2E072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5501B31E">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420020D2">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111A32D1">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c）应定期对系统相关的人员进行应急预案培训，并进行应急预案的演练；</w:t>
            </w:r>
          </w:p>
        </w:tc>
      </w:tr>
      <w:tr w14:paraId="50F6B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5565F633">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4D0DA6C6">
            <w:pPr>
              <w:keepNext w:val="0"/>
              <w:keepLines w:val="0"/>
              <w:pageBreakBefore w:val="0"/>
              <w:kinsoku/>
              <w:wordWrap/>
              <w:overflowPunct/>
              <w:topLinePunct w:val="0"/>
              <w:autoSpaceDE/>
              <w:autoSpaceDN/>
              <w:bidi w:val="0"/>
              <w:adjustRightInd w:val="0"/>
              <w:snapToGrid w:val="0"/>
              <w:spacing w:line="440" w:lineRule="exact"/>
              <w:ind w:firstLine="420" w:firstLineChars="200"/>
              <w:jc w:val="center"/>
              <w:textAlignment w:val="auto"/>
              <w:rPr>
                <w:rFonts w:hint="eastAsia" w:ascii="宋体" w:hAnsi="宋体" w:eastAsia="宋体" w:cs="宋体"/>
                <w:color w:val="auto"/>
                <w:sz w:val="21"/>
                <w:szCs w:val="21"/>
                <w:lang w:val="zh-CN"/>
              </w:rPr>
            </w:pPr>
          </w:p>
        </w:tc>
        <w:tc>
          <w:tcPr>
            <w:tcW w:w="5949" w:type="dxa"/>
            <w:noWrap w:val="0"/>
            <w:vAlign w:val="center"/>
          </w:tcPr>
          <w:p w14:paraId="67CA4773">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d)应定期对原有的应急预案重新评估，修订完善。</w:t>
            </w:r>
          </w:p>
        </w:tc>
      </w:tr>
      <w:tr w14:paraId="03A53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06470964">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restart"/>
            <w:noWrap w:val="0"/>
            <w:vAlign w:val="center"/>
          </w:tcPr>
          <w:p w14:paraId="55F03669">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外包运维管理</w:t>
            </w:r>
          </w:p>
        </w:tc>
        <w:tc>
          <w:tcPr>
            <w:tcW w:w="5949" w:type="dxa"/>
            <w:noWrap w:val="0"/>
            <w:vAlign w:val="center"/>
          </w:tcPr>
          <w:p w14:paraId="50022F8E">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a）应确保外包运维</w:t>
            </w:r>
            <w:r>
              <w:rPr>
                <w:rFonts w:hint="eastAsia" w:ascii="宋体" w:hAnsi="宋体" w:cs="宋体"/>
                <w:color w:val="auto"/>
                <w:sz w:val="21"/>
                <w:szCs w:val="21"/>
                <w:lang w:val="zh-CN"/>
              </w:rPr>
              <w:t>供应商</w:t>
            </w:r>
            <w:r>
              <w:rPr>
                <w:rFonts w:hint="eastAsia" w:ascii="宋体" w:hAnsi="宋体" w:eastAsia="宋体" w:cs="宋体"/>
                <w:color w:val="auto"/>
                <w:sz w:val="21"/>
                <w:szCs w:val="21"/>
                <w:lang w:val="zh-CN"/>
              </w:rPr>
              <w:t>的选择符合国家有关规定；</w:t>
            </w:r>
          </w:p>
        </w:tc>
      </w:tr>
      <w:tr w14:paraId="14EC8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3" w:type="dxa"/>
            <w:vMerge w:val="continue"/>
            <w:noWrap w:val="0"/>
            <w:vAlign w:val="center"/>
          </w:tcPr>
          <w:p w14:paraId="194413CA">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20C32B14">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5949" w:type="dxa"/>
            <w:noWrap w:val="0"/>
            <w:vAlign w:val="center"/>
          </w:tcPr>
          <w:p w14:paraId="7583234B">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b）应与选定的外包运维</w:t>
            </w:r>
            <w:r>
              <w:rPr>
                <w:rFonts w:hint="eastAsia" w:ascii="宋体" w:hAnsi="宋体" w:cs="宋体"/>
                <w:color w:val="auto"/>
                <w:sz w:val="21"/>
                <w:szCs w:val="21"/>
                <w:lang w:val="zh-CN"/>
              </w:rPr>
              <w:t>供应商</w:t>
            </w:r>
            <w:r>
              <w:rPr>
                <w:rFonts w:hint="eastAsia" w:ascii="宋体" w:hAnsi="宋体" w:eastAsia="宋体" w:cs="宋体"/>
                <w:color w:val="auto"/>
                <w:sz w:val="21"/>
                <w:szCs w:val="21"/>
                <w:lang w:val="zh-CN"/>
              </w:rPr>
              <w:t>签订相关的协议，明确约定外包运维的范围、工作内容；</w:t>
            </w:r>
          </w:p>
        </w:tc>
      </w:tr>
      <w:tr w14:paraId="1E385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5FA07EC6">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516E6D96">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5949" w:type="dxa"/>
            <w:noWrap w:val="0"/>
            <w:vAlign w:val="center"/>
          </w:tcPr>
          <w:p w14:paraId="1A9F8B9D">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d）应保证选择的外包运维</w:t>
            </w:r>
            <w:r>
              <w:rPr>
                <w:rFonts w:hint="eastAsia" w:ascii="宋体" w:hAnsi="宋体" w:cs="宋体"/>
                <w:color w:val="auto"/>
                <w:sz w:val="21"/>
                <w:szCs w:val="21"/>
                <w:lang w:val="zh-CN"/>
              </w:rPr>
              <w:t>供应商</w:t>
            </w:r>
            <w:r>
              <w:rPr>
                <w:rFonts w:hint="eastAsia" w:ascii="宋体" w:hAnsi="宋体" w:eastAsia="宋体" w:cs="宋体"/>
                <w:color w:val="auto"/>
                <w:sz w:val="21"/>
                <w:szCs w:val="21"/>
                <w:lang w:val="zh-CN"/>
              </w:rPr>
              <w:t>在技术和管理方面均应具有按照等级保护要求开展安全运维工作的能力，并将能力在签订的协议中明确；</w:t>
            </w:r>
          </w:p>
        </w:tc>
      </w:tr>
      <w:tr w14:paraId="0D342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053" w:type="dxa"/>
            <w:vMerge w:val="continue"/>
            <w:noWrap w:val="0"/>
            <w:vAlign w:val="center"/>
          </w:tcPr>
          <w:p w14:paraId="037230F2">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1520" w:type="dxa"/>
            <w:vMerge w:val="continue"/>
            <w:noWrap w:val="0"/>
            <w:vAlign w:val="center"/>
          </w:tcPr>
          <w:p w14:paraId="5669C27D">
            <w:pPr>
              <w:keepNext w:val="0"/>
              <w:keepLines w:val="0"/>
              <w:pageBreakBefore w:val="0"/>
              <w:widowControl/>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auto"/>
                <w:kern w:val="0"/>
                <w:sz w:val="21"/>
                <w:szCs w:val="21"/>
              </w:rPr>
            </w:pPr>
          </w:p>
        </w:tc>
        <w:tc>
          <w:tcPr>
            <w:tcW w:w="5949" w:type="dxa"/>
            <w:noWrap w:val="0"/>
            <w:vAlign w:val="center"/>
          </w:tcPr>
          <w:p w14:paraId="7BA76FF7">
            <w:pPr>
              <w:keepNext w:val="0"/>
              <w:keepLines w:val="0"/>
              <w:pageBreakBefore w:val="0"/>
              <w:kinsoku/>
              <w:wordWrap/>
              <w:overflowPunct/>
              <w:topLinePunct w:val="0"/>
              <w:autoSpaceDE/>
              <w:autoSpaceDN/>
              <w:bidi w:val="0"/>
              <w:adjustRightInd w:val="0"/>
              <w:snapToGrid w:val="0"/>
              <w:spacing w:line="440" w:lineRule="exact"/>
              <w:ind w:firstLine="420" w:firstLineChars="200"/>
              <w:jc w:val="left"/>
              <w:textAlignment w:val="auto"/>
              <w:rPr>
                <w:rFonts w:hint="eastAsia" w:ascii="宋体" w:hAnsi="宋体" w:eastAsia="宋体" w:cs="宋体"/>
                <w:color w:val="auto"/>
                <w:sz w:val="21"/>
                <w:szCs w:val="21"/>
                <w:lang w:val="zh-CN"/>
              </w:rPr>
            </w:pPr>
            <w:r>
              <w:rPr>
                <w:rFonts w:hint="eastAsia" w:ascii="宋体" w:hAnsi="宋体" w:eastAsia="宋体" w:cs="宋体"/>
                <w:color w:val="auto"/>
                <w:sz w:val="21"/>
                <w:szCs w:val="21"/>
                <w:lang w:val="zh-CN"/>
              </w:rPr>
              <w:t>d）应在与外包运维</w:t>
            </w:r>
            <w:r>
              <w:rPr>
                <w:rFonts w:hint="eastAsia" w:ascii="宋体" w:hAnsi="宋体" w:cs="宋体"/>
                <w:color w:val="auto"/>
                <w:sz w:val="21"/>
                <w:szCs w:val="21"/>
                <w:lang w:val="zh-CN"/>
              </w:rPr>
              <w:t>供应商</w:t>
            </w:r>
            <w:r>
              <w:rPr>
                <w:rFonts w:hint="eastAsia" w:ascii="宋体" w:hAnsi="宋体" w:eastAsia="宋体" w:cs="宋体"/>
                <w:color w:val="auto"/>
                <w:sz w:val="21"/>
                <w:szCs w:val="21"/>
                <w:lang w:val="zh-CN"/>
              </w:rPr>
              <w:t>签订的协议中明确所有相关的安全要求，如可能涉及对敏感信息的访问、处理、储存要求，对IT基础设施中断服务的应急保障要求等。</w:t>
            </w:r>
          </w:p>
        </w:tc>
      </w:tr>
    </w:tbl>
    <w:p w14:paraId="7FBEEDF3">
      <w:pPr>
        <w:spacing w:line="520" w:lineRule="exact"/>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（三）项目管理要求</w:t>
      </w:r>
    </w:p>
    <w:p w14:paraId="634992D5">
      <w:pPr>
        <w:spacing w:line="520" w:lineRule="exact"/>
        <w:ind w:firstLine="560" w:firstLineChars="200"/>
        <w:rPr>
          <w:rFonts w:hint="eastAsia" w:ascii="宋体" w:hAnsi="宋体" w:eastAsia="宋体" w:cs="宋体"/>
          <w:sz w:val="28"/>
          <w:szCs w:val="28"/>
          <w:lang w:val="zh-CN" w:eastAsia="zh-CN"/>
        </w:rPr>
      </w:pPr>
      <w:r>
        <w:rPr>
          <w:rFonts w:hint="eastAsia" w:ascii="宋体" w:hAnsi="宋体" w:eastAsia="宋体" w:cs="宋体"/>
          <w:sz w:val="28"/>
          <w:szCs w:val="28"/>
          <w:lang w:val="zh-CN" w:eastAsia="zh-CN"/>
        </w:rPr>
        <w:t>1</w:t>
      </w:r>
      <w:r>
        <w:rPr>
          <w:rFonts w:hint="eastAsia" w:ascii="宋体" w:hAnsi="宋体" w:eastAsia="宋体" w:cs="宋体"/>
          <w:sz w:val="28"/>
          <w:szCs w:val="28"/>
          <w:lang w:val="en-US" w:eastAsia="zh-CN"/>
        </w:rPr>
        <w:t>.</w:t>
      </w:r>
      <w:r>
        <w:rPr>
          <w:rFonts w:hint="eastAsia" w:ascii="宋体" w:hAnsi="宋体" w:eastAsia="宋体" w:cs="宋体"/>
          <w:sz w:val="28"/>
          <w:szCs w:val="28"/>
          <w:lang w:val="zh-CN" w:eastAsia="zh-CN"/>
        </w:rPr>
        <w:t>项目管理总体要求</w:t>
      </w:r>
    </w:p>
    <w:p w14:paraId="02863BB6">
      <w:pPr>
        <w:spacing w:line="520" w:lineRule="exact"/>
        <w:ind w:firstLine="560" w:firstLineChars="200"/>
        <w:rPr>
          <w:rFonts w:hint="eastAsia" w:ascii="宋体" w:hAnsi="宋体" w:eastAsia="宋体" w:cs="宋体"/>
          <w:sz w:val="28"/>
          <w:szCs w:val="28"/>
          <w:lang w:val="zh-CN" w:eastAsia="zh-CN"/>
        </w:rPr>
      </w:pPr>
      <w:r>
        <w:rPr>
          <w:rFonts w:hint="eastAsia" w:ascii="宋体" w:hAnsi="宋体" w:eastAsia="宋体" w:cs="宋体"/>
          <w:sz w:val="28"/>
          <w:szCs w:val="28"/>
          <w:lang w:val="zh-CN" w:eastAsia="zh-CN"/>
        </w:rPr>
        <w:t>测评机构应在被测评单位统一组织协调下，开展好前期调研、现场实施和报告撰写等工作。测评机构所提供的项目经理和实施人员应是具有丰富经验和专业技能的技术骨干，应有同类项目经验。在测评机构以往参与的项目中，应具有项目实施、熟悉项目需求和团队建设方面的优势。测评机构应在项目全过程中严格遵循各项管理制度的要求，确保项目顺利开展。</w:t>
      </w:r>
    </w:p>
    <w:p w14:paraId="49980C4E">
      <w:pPr>
        <w:spacing w:line="520" w:lineRule="exact"/>
        <w:ind w:firstLine="560" w:firstLineChars="200"/>
        <w:rPr>
          <w:rFonts w:hint="eastAsia" w:ascii="宋体" w:hAnsi="宋体" w:eastAsia="宋体" w:cs="宋体"/>
          <w:sz w:val="28"/>
          <w:szCs w:val="28"/>
          <w:lang w:val="zh-CN" w:eastAsia="zh-CN"/>
        </w:rPr>
      </w:pPr>
      <w:r>
        <w:rPr>
          <w:rFonts w:hint="eastAsia" w:ascii="宋体" w:hAnsi="宋体" w:eastAsia="宋体" w:cs="宋体"/>
          <w:sz w:val="28"/>
          <w:szCs w:val="28"/>
          <w:lang w:val="zh-CN" w:eastAsia="zh-CN"/>
        </w:rPr>
        <w:t>本项目测评驻场人员要求：承担本次测评工作的供应商至少有</w:t>
      </w:r>
      <w:r>
        <w:rPr>
          <w:rFonts w:hint="eastAsia" w:ascii="宋体" w:hAnsi="宋体" w:eastAsia="宋体" w:cs="宋体"/>
          <w:sz w:val="28"/>
          <w:szCs w:val="28"/>
          <w:lang w:val="en-US" w:eastAsia="zh-CN"/>
        </w:rPr>
        <w:t>2</w:t>
      </w:r>
      <w:r>
        <w:rPr>
          <w:rFonts w:hint="eastAsia" w:ascii="宋体" w:hAnsi="宋体" w:eastAsia="宋体" w:cs="宋体"/>
          <w:sz w:val="28"/>
          <w:szCs w:val="28"/>
          <w:lang w:val="zh-CN" w:eastAsia="zh-CN"/>
        </w:rPr>
        <w:t>名高级测评师，</w:t>
      </w:r>
      <w:r>
        <w:rPr>
          <w:rFonts w:hint="eastAsia" w:ascii="宋体" w:hAnsi="宋体" w:eastAsia="宋体" w:cs="宋体"/>
          <w:sz w:val="28"/>
          <w:szCs w:val="28"/>
          <w:lang w:val="en-US" w:eastAsia="zh-CN"/>
        </w:rPr>
        <w:t>2</w:t>
      </w:r>
      <w:r>
        <w:rPr>
          <w:rFonts w:hint="eastAsia" w:ascii="宋体" w:hAnsi="宋体" w:eastAsia="宋体" w:cs="宋体"/>
          <w:sz w:val="28"/>
          <w:szCs w:val="28"/>
          <w:lang w:val="zh-CN" w:eastAsia="zh-CN"/>
        </w:rPr>
        <w:t>名中级测评师,</w:t>
      </w:r>
      <w:r>
        <w:rPr>
          <w:rFonts w:hint="eastAsia" w:ascii="宋体" w:hAnsi="宋体" w:eastAsia="宋体" w:cs="宋体"/>
          <w:sz w:val="28"/>
          <w:szCs w:val="28"/>
          <w:lang w:val="en-US" w:eastAsia="zh-CN"/>
        </w:rPr>
        <w:t>2</w:t>
      </w:r>
      <w:r>
        <w:rPr>
          <w:rFonts w:hint="eastAsia" w:ascii="宋体" w:hAnsi="宋体" w:eastAsia="宋体" w:cs="宋体"/>
          <w:sz w:val="28"/>
          <w:szCs w:val="28"/>
          <w:lang w:val="zh-CN" w:eastAsia="zh-CN"/>
        </w:rPr>
        <w:t>名初级测评师。本次等级保护测评服务不得转包或者分包，所有驻场测评师必须是测评机构自己的正式在职员工,所有驻场测评师必须持证上岗，响应文件中应提供项目组驻场人员名单以及社保主管部门出具的响应单位为其缴纳社保的证明、驻场人员信息安全等级测评师证书复印件及原件，未经采购方同意，项目组成员不得更改。</w:t>
      </w:r>
    </w:p>
    <w:p w14:paraId="543C9EA7">
      <w:pPr>
        <w:spacing w:line="520" w:lineRule="exact"/>
        <w:ind w:firstLine="560" w:firstLineChars="200"/>
        <w:rPr>
          <w:rFonts w:hint="eastAsia" w:ascii="宋体" w:hAnsi="宋体" w:eastAsia="宋体" w:cs="宋体"/>
          <w:sz w:val="28"/>
          <w:szCs w:val="28"/>
          <w:lang w:val="zh-CN" w:eastAsia="zh-CN"/>
        </w:rPr>
      </w:pPr>
      <w:r>
        <w:rPr>
          <w:rFonts w:hint="eastAsia" w:ascii="宋体" w:hAnsi="宋体" w:eastAsia="宋体" w:cs="宋体"/>
          <w:sz w:val="28"/>
          <w:szCs w:val="28"/>
          <w:lang w:val="zh-CN" w:eastAsia="zh-CN"/>
        </w:rPr>
        <w:t>测评单位统一组织协调下，开展好前期调研、现场实施和报告撰写等工作。测评机构所提供的项目经理和实施人员应是具有丰富经验和专业技能的技术骨干，应有同类项目经验，且符合项目人员要求。在测评机构以往参与的项目中，应具有项目实施、熟悉项目需求和团队建设方面的优势。测评机构应在项目全过程中严格遵循各项管理制度的要求，确保项目顺利开展。</w:t>
      </w:r>
    </w:p>
    <w:p w14:paraId="0BC58C9A">
      <w:pPr>
        <w:spacing w:line="520" w:lineRule="exact"/>
        <w:ind w:firstLine="560" w:firstLineChars="200"/>
        <w:rPr>
          <w:rFonts w:hint="eastAsia" w:ascii="宋体" w:hAnsi="宋体" w:eastAsia="宋体" w:cs="宋体"/>
          <w:sz w:val="28"/>
          <w:szCs w:val="28"/>
          <w:lang w:val="zh-CN" w:eastAsia="zh-CN"/>
        </w:rPr>
      </w:pPr>
      <w:r>
        <w:rPr>
          <w:rFonts w:hint="eastAsia" w:ascii="宋体" w:hAnsi="宋体" w:eastAsia="宋体" w:cs="宋体"/>
          <w:sz w:val="28"/>
          <w:szCs w:val="28"/>
          <w:lang w:val="zh-CN" w:eastAsia="zh-CN"/>
        </w:rPr>
        <w:t>2</w:t>
      </w:r>
      <w:r>
        <w:rPr>
          <w:rFonts w:hint="eastAsia" w:ascii="宋体" w:hAnsi="宋体" w:eastAsia="宋体" w:cs="宋体"/>
          <w:sz w:val="28"/>
          <w:szCs w:val="28"/>
          <w:lang w:val="en-US" w:eastAsia="zh-CN"/>
        </w:rPr>
        <w:t>.</w:t>
      </w:r>
      <w:r>
        <w:rPr>
          <w:rFonts w:hint="eastAsia" w:ascii="宋体" w:hAnsi="宋体" w:eastAsia="宋体" w:cs="宋体"/>
          <w:sz w:val="28"/>
          <w:szCs w:val="28"/>
          <w:lang w:val="zh-CN" w:eastAsia="zh-CN"/>
        </w:rPr>
        <w:t>项目管理保密要求</w:t>
      </w:r>
    </w:p>
    <w:p w14:paraId="07D9F129">
      <w:pPr>
        <w:spacing w:line="520" w:lineRule="exact"/>
        <w:ind w:firstLine="560" w:firstLineChars="200"/>
        <w:rPr>
          <w:rFonts w:hint="eastAsia" w:ascii="宋体" w:hAnsi="宋体" w:eastAsia="宋体" w:cs="宋体"/>
          <w:sz w:val="28"/>
          <w:szCs w:val="28"/>
          <w:lang w:val="zh-CN" w:eastAsia="zh-CN"/>
        </w:rPr>
      </w:pPr>
      <w:r>
        <w:rPr>
          <w:rFonts w:hint="eastAsia" w:ascii="宋体" w:hAnsi="宋体" w:eastAsia="宋体" w:cs="宋体"/>
          <w:sz w:val="28"/>
          <w:szCs w:val="28"/>
          <w:lang w:val="zh-CN" w:eastAsia="zh-CN"/>
        </w:rPr>
        <w:t>测评机构应与被测评单位签订正式保密协议，并在工作中坚持保密原则，确保应答人及其员工严格规范执行各项保密制度，杜绝任何泄密事件的发生。测评机构需明确将采取的保密措施，对员工的保密管理措施，以及一旦发生泄密事件将采取的措施、需承担的责任。</w:t>
      </w:r>
    </w:p>
    <w:p w14:paraId="0178FCD8">
      <w:pPr>
        <w:spacing w:line="520" w:lineRule="exact"/>
        <w:ind w:firstLine="560" w:firstLineChars="200"/>
        <w:rPr>
          <w:rFonts w:hint="eastAsia" w:ascii="宋体" w:hAnsi="宋体" w:eastAsia="宋体" w:cs="宋体"/>
          <w:sz w:val="28"/>
          <w:szCs w:val="28"/>
          <w:lang w:val="zh-CN" w:eastAsia="zh-CN"/>
        </w:rPr>
      </w:pPr>
      <w:r>
        <w:rPr>
          <w:rFonts w:hint="eastAsia" w:ascii="宋体" w:hAnsi="宋体" w:eastAsia="宋体" w:cs="宋体"/>
          <w:sz w:val="28"/>
          <w:szCs w:val="28"/>
          <w:lang w:val="zh-CN" w:eastAsia="zh-CN"/>
        </w:rPr>
        <w:t>3</w:t>
      </w:r>
      <w:r>
        <w:rPr>
          <w:rFonts w:hint="eastAsia" w:ascii="宋体" w:hAnsi="宋体" w:eastAsia="宋体" w:cs="宋体"/>
          <w:sz w:val="28"/>
          <w:szCs w:val="28"/>
          <w:lang w:val="en-US" w:eastAsia="zh-CN"/>
        </w:rPr>
        <w:t>.</w:t>
      </w:r>
      <w:r>
        <w:rPr>
          <w:rFonts w:hint="eastAsia" w:ascii="宋体" w:hAnsi="宋体" w:eastAsia="宋体" w:cs="宋体"/>
          <w:sz w:val="28"/>
          <w:szCs w:val="28"/>
          <w:lang w:val="zh-CN" w:eastAsia="zh-CN"/>
        </w:rPr>
        <w:t>项目风险控制</w:t>
      </w:r>
    </w:p>
    <w:p w14:paraId="32112B23">
      <w:pPr>
        <w:spacing w:line="520" w:lineRule="exact"/>
        <w:ind w:firstLine="560" w:firstLineChars="200"/>
        <w:rPr>
          <w:rFonts w:hint="eastAsia" w:ascii="宋体" w:hAnsi="宋体" w:eastAsia="宋体" w:cs="宋体"/>
          <w:sz w:val="28"/>
          <w:szCs w:val="28"/>
          <w:lang w:val="zh-CN" w:eastAsia="zh-CN"/>
        </w:rPr>
      </w:pPr>
      <w:r>
        <w:rPr>
          <w:rFonts w:hint="eastAsia" w:ascii="宋体" w:hAnsi="宋体" w:eastAsia="宋体" w:cs="宋体"/>
          <w:sz w:val="28"/>
          <w:szCs w:val="28"/>
          <w:lang w:val="zh-CN" w:eastAsia="zh-CN"/>
        </w:rPr>
        <w:t>测评机构应能够对信息安全等级测评项目过程进行充分的风险考虑，并制定相应的风险规避措施和控制方法。在项目实施过程中，应做好计划与安排，不影响被测评单位正常业务工作的开展。</w:t>
      </w:r>
    </w:p>
    <w:p w14:paraId="4BFB58F4">
      <w:pPr>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六、其他要求</w:t>
      </w:r>
    </w:p>
    <w:p w14:paraId="17173467">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满足交通运输部、陕西省交通运输主管部门印发的规范性文件以及招标文件相关技术要求。</w:t>
      </w:r>
    </w:p>
    <w:p w14:paraId="4189D0EB">
      <w:pPr>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七、验收</w:t>
      </w:r>
    </w:p>
    <w:p w14:paraId="7371BBA2">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一）乙方完成合同约定的全部内容后，应向甲方提交书面的服务成果报告及验收申请。同时向甲方提交项目实施过程中的所有资料,以便甲方日后管理和维护该项目。乙方提交的各项成果资料均应满足国家现行的相关技术标准、规范、规程等以及我省公路管理相关规定。</w:t>
      </w:r>
    </w:p>
    <w:p w14:paraId="46679B23">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（二）甲方收到乙方的验收申请后，组织乙方（必要时请有关专家）进行项目验收。乙方提交合同履约情况总结报告，并经甲方确认。验收合格后，填写项目验收单作为对项目的最终认可。</w:t>
      </w:r>
    </w:p>
    <w:p w14:paraId="035504D8">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（三）验收依据：①本合同及附件文本；②竞争性磋商文件、磋商响应文件、澄清表（函）；③国家相应的标准、规范。</w:t>
      </w:r>
    </w:p>
    <w:p w14:paraId="0D888F7E">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技术审查、验收不合格的限期整改，整改过程中产生的一切费用和损失由乙方承担。整改超过二次的，甲方有权单方解除本合同，乙方应无条件退还已收取的全部合同价款，给甲方造成损失的应予以赔偿，且乙方应按合同总金额的10%向甲方支付违约金。</w:t>
      </w:r>
    </w:p>
    <w:p w14:paraId="57458404">
      <w:pPr>
        <w:tabs>
          <w:tab w:val="left" w:pos="980"/>
        </w:tabs>
        <w:kinsoku w:val="0"/>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八、保密</w:t>
      </w:r>
    </w:p>
    <w:p w14:paraId="1A8DA743">
      <w:pPr>
        <w:tabs>
          <w:tab w:val="left" w:pos="980"/>
        </w:tabs>
        <w:kinsoku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乙方对工作中了解到的甲方的技术、数据、机密等进行严格保密，不得向他人泄漏。本合同的解除或终止不免除乙方应承担的保密义务。</w:t>
      </w:r>
    </w:p>
    <w:p w14:paraId="1D15D32A">
      <w:pPr>
        <w:tabs>
          <w:tab w:val="left" w:pos="980"/>
        </w:tabs>
        <w:kinsoku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乙方违反保密规定的，除承担法律责任外，还应向甲方支付合同总金额</w:t>
      </w:r>
      <w:r>
        <w:rPr>
          <w:rFonts w:ascii="宋体" w:hAnsi="宋体" w:eastAsia="宋体" w:cs="宋体"/>
          <w:sz w:val="28"/>
          <w:szCs w:val="28"/>
          <w:u w:val="single"/>
        </w:rPr>
        <w:t>10</w:t>
      </w:r>
      <w:r>
        <w:rPr>
          <w:rFonts w:hint="eastAsia" w:ascii="宋体" w:hAnsi="宋体" w:eastAsia="宋体" w:cs="宋体"/>
          <w:sz w:val="28"/>
          <w:szCs w:val="28"/>
        </w:rPr>
        <w:t>%的违约金，给甲方造成损失的，乙方还应予以赔偿。</w:t>
      </w:r>
    </w:p>
    <w:p w14:paraId="0AC80571">
      <w:pPr>
        <w:tabs>
          <w:tab w:val="left" w:pos="980"/>
        </w:tabs>
        <w:kinsoku w:val="0"/>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九、知识产权</w:t>
      </w:r>
    </w:p>
    <w:p w14:paraId="6331327B">
      <w:pPr>
        <w:tabs>
          <w:tab w:val="left" w:pos="980"/>
        </w:tabs>
        <w:kinsoku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乙方应对所供服务具有或已取得合法知识产权，乙方应保证所供服务不会出现因第三方提出侵犯其专利权、商标权或其它知识产权而引发法律或经济纠纷，否则由乙方负责解决并承担全部责任；如因此影响到甲方的正常使用，甲方有权单方解除本合同，乙方应无条件向甲方退回已收取的全部合同价款，并向甲方承担合同总金额</w:t>
      </w:r>
      <w:r>
        <w:rPr>
          <w:rFonts w:hint="eastAsia" w:ascii="宋体" w:hAnsi="宋体" w:eastAsia="宋体" w:cs="宋体"/>
          <w:sz w:val="28"/>
          <w:szCs w:val="28"/>
          <w:u w:val="single"/>
        </w:rPr>
        <w:t xml:space="preserve"> </w:t>
      </w:r>
      <w:r>
        <w:rPr>
          <w:rFonts w:ascii="宋体" w:hAnsi="宋体" w:eastAsia="宋体" w:cs="宋体"/>
          <w:sz w:val="28"/>
          <w:szCs w:val="28"/>
          <w:u w:val="single"/>
        </w:rPr>
        <w:t>10</w:t>
      </w:r>
      <w:r>
        <w:rPr>
          <w:rFonts w:hint="eastAsia" w:ascii="宋体" w:hAnsi="宋体" w:eastAsia="宋体" w:cs="宋体"/>
          <w:sz w:val="28"/>
          <w:szCs w:val="28"/>
          <w:u w:val="single"/>
        </w:rPr>
        <w:t xml:space="preserve"> </w:t>
      </w:r>
      <w:r>
        <w:rPr>
          <w:rFonts w:hint="eastAsia" w:ascii="宋体" w:hAnsi="宋体" w:eastAsia="宋体" w:cs="宋体"/>
          <w:sz w:val="28"/>
          <w:szCs w:val="28"/>
        </w:rPr>
        <w:t>%的违约金，给甲方造成损失的，乙方应予以赔偿。</w:t>
      </w:r>
    </w:p>
    <w:p w14:paraId="0E226C4B">
      <w:pPr>
        <w:widowControl w:val="0"/>
        <w:overflowPunct w:val="0"/>
        <w:ind w:firstLine="562" w:firstLineChars="200"/>
        <w:jc w:val="left"/>
        <w:rPr>
          <w:rFonts w:ascii="等线" w:hAnsi="等线" w:eastAsia="等线" w:cs="Times New Roman"/>
          <w:kern w:val="2"/>
          <w:sz w:val="21"/>
          <w:szCs w:val="24"/>
          <w:lang w:val="en-US" w:eastAsia="zh-CN" w:bidi="ar-SA"/>
        </w:rPr>
      </w:pPr>
      <w:r>
        <w:rPr>
          <w:rFonts w:hint="eastAsia" w:ascii="宋体" w:hAnsi="宋体" w:eastAsia="宋体" w:cs="宋体"/>
          <w:b/>
          <w:bCs/>
          <w:kern w:val="2"/>
          <w:sz w:val="28"/>
          <w:szCs w:val="28"/>
          <w:lang w:val="en-US" w:eastAsia="zh-CN" w:bidi="ar-SA"/>
        </w:rPr>
        <w:t>十、违约责任</w:t>
      </w:r>
    </w:p>
    <w:p w14:paraId="1D1613BE">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（一）甲乙双方必须遵守本合同并执行合同中的各项规定，保证本合同的正常履行。</w:t>
      </w:r>
    </w:p>
    <w:p w14:paraId="19CECE48">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二）如因乙方工作人员在履行职务过程中的疏忽、失职、过错等故意或者过失原因给甲方造成损失或侵害，包括但不限于甲方本身的财产损失、由此而导致的甲方对任何第三方的法律责任等，乙方对此均应承担全部的赔偿责任。</w:t>
      </w:r>
    </w:p>
    <w:p w14:paraId="011EF944">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三）因省财政年度预算拨款等政策要求，甲方向乙方支付全部合同价款不视为双方合同履约结束，乙方仍应按照合同约定，完成全部工作内容，否则将视为乙方存在严重失信行为，甲方将上报省财政厅，将乙方列入信用“黑名单”，并在“中国政府采购网”、“信用中国”等网站公示；同时甲方保留要求乙方退还合同价款、赔偿损失的权利。</w:t>
      </w:r>
    </w:p>
    <w:p w14:paraId="033AC7E9">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（四）乙方逾期完成服务的，每逾期一日，向甲方承担合同总金额</w:t>
      </w:r>
      <w:r>
        <w:rPr>
          <w:rFonts w:hint="eastAsia" w:ascii="宋体" w:hAnsi="宋体" w:eastAsia="宋体" w:cs="宋体"/>
          <w:sz w:val="28"/>
          <w:szCs w:val="28"/>
          <w:u w:val="single"/>
        </w:rPr>
        <w:t xml:space="preserve"> </w:t>
      </w:r>
      <w:r>
        <w:rPr>
          <w:rFonts w:ascii="宋体" w:hAnsi="宋体" w:eastAsia="宋体" w:cs="宋体"/>
          <w:sz w:val="28"/>
          <w:szCs w:val="28"/>
          <w:u w:val="single"/>
        </w:rPr>
        <w:t>1</w:t>
      </w:r>
      <w:r>
        <w:rPr>
          <w:rFonts w:hint="eastAsia" w:ascii="宋体" w:hAnsi="宋体" w:eastAsia="宋体" w:cs="宋体"/>
          <w:sz w:val="28"/>
          <w:szCs w:val="28"/>
          <w:u w:val="single"/>
        </w:rPr>
        <w:t xml:space="preserve"> </w:t>
      </w:r>
      <w:r>
        <w:rPr>
          <w:rFonts w:hint="eastAsia" w:ascii="宋体" w:hAnsi="宋体" w:eastAsia="宋体" w:cs="宋体"/>
          <w:sz w:val="28"/>
          <w:szCs w:val="28"/>
        </w:rPr>
        <w:t>%的违约金，逾期</w:t>
      </w:r>
      <w:r>
        <w:rPr>
          <w:rFonts w:ascii="宋体" w:hAnsi="宋体" w:eastAsia="宋体" w:cs="宋体"/>
          <w:sz w:val="28"/>
          <w:szCs w:val="28"/>
          <w:u w:val="single"/>
        </w:rPr>
        <w:t>10</w:t>
      </w:r>
      <w:r>
        <w:rPr>
          <w:rFonts w:hint="eastAsia" w:ascii="宋体" w:hAnsi="宋体" w:eastAsia="宋体" w:cs="宋体"/>
          <w:sz w:val="28"/>
          <w:szCs w:val="28"/>
        </w:rPr>
        <w:t>日的，甲方有权单方解除本合同且保留追究乙方违约责任的权利，给甲方造成损失的，乙方还应予以赔偿。</w:t>
      </w:r>
    </w:p>
    <w:p w14:paraId="66165E59">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（五）乙方应保证其提交的服务成果不存在侵犯他人权益的情形，否则，因此引发的责任及纠纷由乙方承担，对甲方造成损失的，乙方应予以赔偿，此外，乙方还应向甲方承担合同总金额</w:t>
      </w:r>
      <w:r>
        <w:rPr>
          <w:rFonts w:hint="eastAsia" w:ascii="宋体" w:hAnsi="宋体" w:eastAsia="宋体" w:cs="宋体"/>
          <w:sz w:val="28"/>
          <w:szCs w:val="28"/>
          <w:u w:val="single"/>
        </w:rPr>
        <w:t xml:space="preserve"> </w:t>
      </w:r>
      <w:r>
        <w:rPr>
          <w:rFonts w:ascii="宋体" w:hAnsi="宋体" w:eastAsia="宋体" w:cs="宋体"/>
          <w:sz w:val="28"/>
          <w:szCs w:val="28"/>
          <w:u w:val="single"/>
        </w:rPr>
        <w:t>10</w:t>
      </w:r>
      <w:r>
        <w:rPr>
          <w:rFonts w:hint="eastAsia" w:ascii="宋体" w:hAnsi="宋体" w:eastAsia="宋体" w:cs="宋体"/>
          <w:sz w:val="28"/>
          <w:szCs w:val="28"/>
          <w:u w:val="single"/>
        </w:rPr>
        <w:t xml:space="preserve"> </w:t>
      </w:r>
      <w:r>
        <w:rPr>
          <w:rFonts w:hint="eastAsia" w:ascii="宋体" w:hAnsi="宋体" w:eastAsia="宋体" w:cs="宋体"/>
          <w:sz w:val="28"/>
          <w:szCs w:val="28"/>
        </w:rPr>
        <w:t>%的违约金。</w:t>
      </w:r>
    </w:p>
    <w:p w14:paraId="37687DB6">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（六）乙方应对其服务及服务成果的合法性、科学性、有效性、客观性、真实性负责，否则，相关责任及纠纷由乙方承担，对甲方造成损失的，乙方应予赔偿，此外，乙方还应向甲方承担合同总金额</w:t>
      </w:r>
      <w:r>
        <w:rPr>
          <w:rFonts w:hint="eastAsia" w:ascii="宋体" w:hAnsi="宋体" w:eastAsia="宋体" w:cs="宋体"/>
          <w:sz w:val="28"/>
          <w:szCs w:val="28"/>
          <w:u w:val="single"/>
        </w:rPr>
        <w:t xml:space="preserve"> </w:t>
      </w:r>
      <w:r>
        <w:rPr>
          <w:rFonts w:ascii="宋体" w:hAnsi="宋体" w:eastAsia="宋体" w:cs="宋体"/>
          <w:sz w:val="28"/>
          <w:szCs w:val="28"/>
          <w:u w:val="single"/>
        </w:rPr>
        <w:t>10</w:t>
      </w:r>
      <w:r>
        <w:rPr>
          <w:rFonts w:hint="eastAsia" w:ascii="宋体" w:hAnsi="宋体" w:eastAsia="宋体" w:cs="宋体"/>
          <w:sz w:val="28"/>
          <w:szCs w:val="28"/>
          <w:u w:val="single"/>
        </w:rPr>
        <w:t xml:space="preserve"> </w:t>
      </w:r>
      <w:r>
        <w:rPr>
          <w:rFonts w:hint="eastAsia" w:ascii="宋体" w:hAnsi="宋体" w:eastAsia="宋体" w:cs="宋体"/>
          <w:sz w:val="28"/>
          <w:szCs w:val="28"/>
        </w:rPr>
        <w:t>%的违约金。</w:t>
      </w:r>
    </w:p>
    <w:p w14:paraId="51F3053A">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七）乙方在为甲方提供服务过程中所产生的所有成果，其知识产权归甲方所有。未经甲方书面同意乙方不得给与本项目无关的第三方使用。乙方对于甲方提供的一切信息及资料负有严格的保密义务，不得以任何名义以此进行牟利活动，不得发表，也不得向任何第三方透露，否则应赔偿由此给甲方造成的损失。</w:t>
      </w:r>
    </w:p>
    <w:p w14:paraId="1A0AE2F6">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（八）乙方未按合同约定或甲方要求提供服务的，每出现一次应承担合同总价款【1】%的违约金，出现【</w:t>
      </w:r>
      <w:r>
        <w:rPr>
          <w:rFonts w:ascii="宋体" w:hAnsi="宋体" w:eastAsia="宋体" w:cs="宋体"/>
          <w:sz w:val="28"/>
          <w:szCs w:val="28"/>
        </w:rPr>
        <w:t>3</w:t>
      </w:r>
      <w:r>
        <w:rPr>
          <w:rFonts w:hint="eastAsia" w:ascii="宋体" w:hAnsi="宋体" w:eastAsia="宋体" w:cs="宋体"/>
          <w:sz w:val="28"/>
          <w:szCs w:val="28"/>
        </w:rPr>
        <w:t>】次的，甲方有权单方解除本合同，给甲方造成损失的，乙方还应予以赔偿。</w:t>
      </w:r>
    </w:p>
    <w:p w14:paraId="737B6063">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九）若乙方违反合同约定，除按照合同约定承担违约金外，对甲方造成损失的，乙方还应予以赔偿。若合同因乙方违约导致解除的，乙方除应承担违约责任赔偿甲方损失外，已收的款项应退还甲方。甲方因乙方违约而产生的维权费用，包括但不限于诉讼费、律师费、保全费、鉴定费、评估费、公证费、差旅费等费用，均由乙方承担。</w:t>
      </w:r>
    </w:p>
    <w:p w14:paraId="44FFE2B0">
      <w:pPr>
        <w:tabs>
          <w:tab w:val="left" w:pos="980"/>
        </w:tabs>
        <w:overflowPunct w:val="0"/>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十一、合同争议的解决</w:t>
      </w:r>
    </w:p>
    <w:p w14:paraId="3836468F">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在执行本合同中发生的或与本合同有关的争端，双方应通过友好协商解决，经协商无法解决的，应向甲方所在地有管辖权的人民法院提请诉讼。</w:t>
      </w:r>
    </w:p>
    <w:p w14:paraId="6318DE20">
      <w:pPr>
        <w:tabs>
          <w:tab w:val="left" w:pos="980"/>
        </w:tabs>
        <w:overflowPunct w:val="0"/>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十二、不可抗力情况下的免责约定</w:t>
      </w:r>
    </w:p>
    <w:p w14:paraId="25A9CB28">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双方约定不可抗力情况指：双方不可预见、不可避免、不可克服的客观情况，但不包括双方的违约或疏忽。这些事件包括但不限于：战争、严重火灾、洪水、台风、地震等。</w:t>
      </w:r>
    </w:p>
    <w:p w14:paraId="0CFDDBF5">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（一）在合同有效期内，任何一方因不可抗力事件导致不能履行合同，则合同履行期可延长，其延长期与不可抗力影响期相同。</w:t>
      </w:r>
    </w:p>
    <w:p w14:paraId="4CAAE805">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（二）不可抗力事件发生后，应立即通知对方，并寄送有关权威机构出具的证明。</w:t>
      </w:r>
    </w:p>
    <w:p w14:paraId="417F491E">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（三）不可抗力事件延续60天以上，双方应通过友好协商，确定是否继续履行合同。</w:t>
      </w:r>
    </w:p>
    <w:p w14:paraId="17280011">
      <w:pPr>
        <w:tabs>
          <w:tab w:val="left" w:pos="980"/>
        </w:tabs>
        <w:overflowPunct w:val="0"/>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十三、合同订立</w:t>
      </w:r>
    </w:p>
    <w:p w14:paraId="1365129E">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（一）本合同未尽事宜由双方协商解决，双方协商达成一致，可以对本合同进行修订或补充，任何对本合同的修订或者补充，应采用书面形式，签订补充协议，具有同等法律效力。</w:t>
      </w:r>
    </w:p>
    <w:p w14:paraId="771BCC93">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（二）本合同签订后,双方依法签订的补充协议也是本合同文件的组成部分，当上述文件如有不明确或不一致之处，以合同约定次序在先者为准。</w:t>
      </w:r>
    </w:p>
    <w:p w14:paraId="0CFE4374">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（三）本合同自双方的法定代表人（负责人）或授权代表签字并加盖单位公章之日起生效。</w:t>
      </w:r>
    </w:p>
    <w:p w14:paraId="53C8A108">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（四）本合同一式</w:t>
      </w:r>
      <w:r>
        <w:rPr>
          <w:rFonts w:hint="eastAsia" w:ascii="宋体" w:hAnsi="宋体" w:eastAsia="宋体" w:cs="宋体"/>
          <w:sz w:val="28"/>
          <w:szCs w:val="28"/>
          <w:u w:val="single"/>
        </w:rPr>
        <w:t xml:space="preserve"> 捌 </w:t>
      </w:r>
      <w:r>
        <w:rPr>
          <w:rFonts w:hint="eastAsia" w:ascii="宋体" w:hAnsi="宋体" w:eastAsia="宋体" w:cs="宋体"/>
          <w:sz w:val="28"/>
          <w:szCs w:val="28"/>
        </w:rPr>
        <w:t>份，其中，甲方执</w:t>
      </w:r>
      <w:r>
        <w:rPr>
          <w:rFonts w:hint="eastAsia" w:ascii="宋体" w:hAnsi="宋体" w:eastAsia="宋体" w:cs="宋体"/>
          <w:sz w:val="28"/>
          <w:szCs w:val="28"/>
          <w:u w:val="single"/>
        </w:rPr>
        <w:t xml:space="preserve"> 肆 </w:t>
      </w:r>
      <w:r>
        <w:rPr>
          <w:rFonts w:hint="eastAsia" w:ascii="宋体" w:hAnsi="宋体" w:eastAsia="宋体" w:cs="宋体"/>
          <w:sz w:val="28"/>
          <w:szCs w:val="28"/>
        </w:rPr>
        <w:t>份，乙方执</w:t>
      </w:r>
      <w:r>
        <w:rPr>
          <w:rFonts w:hint="eastAsia" w:ascii="宋体" w:hAnsi="宋体" w:eastAsia="宋体" w:cs="宋体"/>
          <w:sz w:val="28"/>
          <w:szCs w:val="28"/>
          <w:u w:val="single"/>
        </w:rPr>
        <w:t xml:space="preserve"> 肆 </w:t>
      </w:r>
      <w:r>
        <w:rPr>
          <w:rFonts w:hint="eastAsia" w:ascii="宋体" w:hAnsi="宋体" w:eastAsia="宋体" w:cs="宋体"/>
          <w:sz w:val="28"/>
          <w:szCs w:val="28"/>
        </w:rPr>
        <w:t>份，具有同等法律效力。</w:t>
      </w:r>
    </w:p>
    <w:p w14:paraId="171765D9">
      <w:pPr>
        <w:spacing w:line="520" w:lineRule="exact"/>
        <w:rPr>
          <w:rFonts w:ascii="宋体" w:hAnsi="宋体" w:eastAsia="宋体" w:cs="宋体"/>
          <w:sz w:val="28"/>
          <w:szCs w:val="28"/>
        </w:rPr>
      </w:pPr>
    </w:p>
    <w:p w14:paraId="1025B14A">
      <w:pPr>
        <w:tabs>
          <w:tab w:val="left" w:pos="980"/>
        </w:tabs>
        <w:kinsoku w:val="0"/>
        <w:spacing w:line="520" w:lineRule="exact"/>
        <w:ind w:firstLine="1400" w:firstLineChars="500"/>
        <w:rPr>
          <w:rFonts w:ascii="宋体" w:hAnsi="宋体" w:eastAsia="宋体" w:cs="宋体"/>
          <w:sz w:val="28"/>
          <w:szCs w:val="28"/>
        </w:rPr>
      </w:pPr>
      <w:r>
        <w:rPr>
          <w:rFonts w:hint="eastAsia" w:ascii="宋体" w:hAnsi="宋体" w:eastAsia="宋体" w:cs="宋体"/>
          <w:sz w:val="28"/>
          <w:szCs w:val="28"/>
        </w:rPr>
        <w:t>甲方：</w:t>
      </w:r>
      <w:r>
        <w:rPr>
          <w:rFonts w:hint="eastAsia" w:ascii="宋体" w:hAnsi="宋体" w:eastAsia="宋体" w:cs="宋体"/>
          <w:sz w:val="28"/>
          <w:szCs w:val="28"/>
          <w:u w:val="single"/>
        </w:rPr>
        <w:t xml:space="preserve">      陕西省公路局（盖章）       </w:t>
      </w:r>
      <w:r>
        <w:rPr>
          <w:rFonts w:hint="eastAsia" w:ascii="宋体" w:hAnsi="宋体" w:eastAsia="宋体" w:cs="宋体"/>
          <w:sz w:val="28"/>
          <w:szCs w:val="28"/>
        </w:rPr>
        <w:t xml:space="preserve">                  </w:t>
      </w:r>
    </w:p>
    <w:p w14:paraId="0A150504">
      <w:pPr>
        <w:tabs>
          <w:tab w:val="left" w:pos="980"/>
        </w:tabs>
        <w:kinsoku w:val="0"/>
        <w:spacing w:line="520" w:lineRule="exact"/>
        <w:ind w:firstLine="1400" w:firstLineChars="500"/>
        <w:rPr>
          <w:rFonts w:ascii="宋体" w:hAnsi="宋体" w:eastAsia="宋体" w:cs="宋体"/>
          <w:sz w:val="28"/>
          <w:szCs w:val="28"/>
        </w:rPr>
      </w:pPr>
      <w:r>
        <w:rPr>
          <w:rFonts w:hint="eastAsia" w:ascii="宋体" w:hAnsi="宋体" w:eastAsia="宋体" w:cs="宋体"/>
          <w:sz w:val="28"/>
          <w:szCs w:val="28"/>
        </w:rPr>
        <w:t xml:space="preserve">地 址：陕西省西安市碑林区含光北路110号 </w:t>
      </w:r>
    </w:p>
    <w:p w14:paraId="5524A7EB">
      <w:pPr>
        <w:tabs>
          <w:tab w:val="left" w:pos="980"/>
        </w:tabs>
        <w:kinsoku w:val="0"/>
        <w:spacing w:line="520" w:lineRule="exact"/>
        <w:ind w:firstLine="1400" w:firstLineChars="500"/>
        <w:rPr>
          <w:rFonts w:ascii="宋体" w:hAnsi="宋体" w:eastAsia="宋体" w:cs="宋体"/>
          <w:sz w:val="28"/>
          <w:szCs w:val="28"/>
        </w:rPr>
      </w:pPr>
      <w:r>
        <w:rPr>
          <w:rFonts w:hint="eastAsia" w:ascii="宋体" w:hAnsi="宋体" w:eastAsia="宋体" w:cs="宋体"/>
          <w:sz w:val="28"/>
          <w:szCs w:val="28"/>
        </w:rPr>
        <w:t>开户行及账号：611301033018010000003</w:t>
      </w:r>
    </w:p>
    <w:p w14:paraId="7021036F">
      <w:pPr>
        <w:tabs>
          <w:tab w:val="left" w:pos="980"/>
        </w:tabs>
        <w:kinsoku w:val="0"/>
        <w:spacing w:line="520" w:lineRule="exact"/>
        <w:ind w:firstLine="3360" w:firstLineChars="1200"/>
        <w:rPr>
          <w:rFonts w:ascii="宋体" w:hAnsi="宋体" w:eastAsia="宋体" w:cs="宋体"/>
          <w:sz w:val="28"/>
          <w:szCs w:val="28"/>
        </w:rPr>
      </w:pPr>
      <w:r>
        <w:rPr>
          <w:rFonts w:hint="eastAsia" w:ascii="宋体" w:hAnsi="宋体" w:eastAsia="宋体" w:cs="宋体"/>
          <w:sz w:val="28"/>
          <w:szCs w:val="28"/>
        </w:rPr>
        <w:t xml:space="preserve">交通银行西安城南支行                                   </w:t>
      </w:r>
    </w:p>
    <w:p w14:paraId="083C9202">
      <w:pPr>
        <w:tabs>
          <w:tab w:val="left" w:pos="980"/>
        </w:tabs>
        <w:kinsoku w:val="0"/>
        <w:spacing w:line="520" w:lineRule="exact"/>
        <w:ind w:firstLine="1400" w:firstLineChars="500"/>
        <w:rPr>
          <w:rFonts w:ascii="宋体" w:hAnsi="宋体" w:eastAsia="宋体" w:cs="宋体"/>
          <w:sz w:val="28"/>
          <w:szCs w:val="28"/>
        </w:rPr>
      </w:pPr>
      <w:r>
        <w:rPr>
          <w:rFonts w:hint="eastAsia" w:ascii="宋体" w:hAnsi="宋体" w:eastAsia="宋体" w:cs="宋体"/>
          <w:sz w:val="28"/>
          <w:szCs w:val="28"/>
        </w:rPr>
        <w:t xml:space="preserve">法定代表人或其授权                   </w:t>
      </w:r>
    </w:p>
    <w:p w14:paraId="5951837F">
      <w:pPr>
        <w:tabs>
          <w:tab w:val="left" w:pos="980"/>
        </w:tabs>
        <w:kinsoku w:val="0"/>
        <w:spacing w:line="520" w:lineRule="exact"/>
        <w:ind w:firstLine="1400" w:firstLineChars="500"/>
        <w:rPr>
          <w:rFonts w:ascii="宋体" w:hAnsi="宋体" w:eastAsia="宋体" w:cs="宋体"/>
          <w:sz w:val="28"/>
          <w:szCs w:val="28"/>
          <w:u w:val="single"/>
        </w:rPr>
      </w:pPr>
      <w:r>
        <w:rPr>
          <w:rFonts w:hint="eastAsia" w:ascii="宋体" w:hAnsi="宋体" w:eastAsia="宋体" w:cs="宋体"/>
          <w:sz w:val="28"/>
          <w:szCs w:val="28"/>
        </w:rPr>
        <w:t xml:space="preserve">的代理人：（签字） </w:t>
      </w:r>
      <w:r>
        <w:rPr>
          <w:rFonts w:hint="eastAsia" w:ascii="宋体" w:hAnsi="宋体" w:eastAsia="宋体" w:cs="宋体"/>
          <w:sz w:val="28"/>
          <w:szCs w:val="28"/>
          <w:u w:val="single"/>
        </w:rPr>
        <w:t xml:space="preserve">                    </w:t>
      </w:r>
    </w:p>
    <w:p w14:paraId="0B3CA3FF">
      <w:pPr>
        <w:spacing w:line="520" w:lineRule="exact"/>
        <w:ind w:firstLine="420"/>
        <w:rPr>
          <w:rFonts w:ascii="宋体" w:hAnsi="宋体" w:eastAsia="宋体" w:cs="宋体"/>
          <w:sz w:val="28"/>
          <w:szCs w:val="28"/>
          <w:lang w:eastAsia="zh-Hans"/>
        </w:rPr>
      </w:pPr>
      <w:r>
        <w:rPr>
          <w:rFonts w:hint="eastAsia" w:ascii="等线" w:hAnsi="等线" w:eastAsia="等线" w:cs="Times New Roman"/>
        </w:rPr>
        <w:t xml:space="preserve">          </w:t>
      </w:r>
    </w:p>
    <w:p w14:paraId="074BD5DC">
      <w:pPr>
        <w:spacing w:line="520" w:lineRule="exact"/>
        <w:rPr>
          <w:rFonts w:hint="default" w:ascii="宋体" w:hAnsi="宋体" w:eastAsia="宋体" w:cs="宋体"/>
          <w:kern w:val="0"/>
          <w:sz w:val="28"/>
          <w:szCs w:val="28"/>
          <w:u w:val="single"/>
          <w:lang w:val="en-US" w:eastAsia="zh-Hans" w:bidi="ar-SA"/>
        </w:rPr>
      </w:pPr>
      <w:r>
        <w:rPr>
          <w:rFonts w:hint="eastAsia" w:ascii="宋体" w:hAnsi="宋体" w:eastAsia="宋体" w:cs="宋体"/>
          <w:kern w:val="0"/>
          <w:sz w:val="28"/>
          <w:szCs w:val="28"/>
          <w:lang w:val="en-US" w:eastAsia="zh-Hans" w:bidi="ar-SA"/>
        </w:rPr>
        <w:t xml:space="preserve"> </w:t>
      </w:r>
      <w:r>
        <w:rPr>
          <w:rFonts w:hint="eastAsia" w:ascii="宋体" w:hAnsi="宋体" w:eastAsia="宋体" w:cs="宋体"/>
          <w:kern w:val="0"/>
          <w:sz w:val="28"/>
          <w:szCs w:val="28"/>
          <w:lang w:val="en-US" w:eastAsia="zh-CN" w:bidi="ar-SA"/>
        </w:rPr>
        <w:t xml:space="preserve">        </w:t>
      </w:r>
      <w:r>
        <w:rPr>
          <w:rFonts w:hint="eastAsia" w:ascii="宋体" w:hAnsi="宋体" w:eastAsia="宋体" w:cs="宋体"/>
          <w:kern w:val="0"/>
          <w:sz w:val="28"/>
          <w:szCs w:val="28"/>
          <w:lang w:val="en-US" w:eastAsia="zh-Hans" w:bidi="ar-SA"/>
        </w:rPr>
        <w:t xml:space="preserve"> </w:t>
      </w:r>
      <w:r>
        <w:rPr>
          <w:rFonts w:hint="eastAsia" w:ascii="宋体" w:hAnsi="宋体" w:eastAsia="宋体" w:cs="宋体"/>
          <w:kern w:val="0"/>
          <w:sz w:val="28"/>
          <w:szCs w:val="28"/>
          <w:lang w:val="en-US" w:eastAsia="zh-CN" w:bidi="ar-SA"/>
        </w:rPr>
        <w:t>乙  方</w:t>
      </w:r>
      <w:r>
        <w:rPr>
          <w:rFonts w:hint="eastAsia" w:ascii="宋体" w:hAnsi="宋体" w:eastAsia="宋体" w:cs="宋体"/>
          <w:kern w:val="0"/>
          <w:sz w:val="28"/>
          <w:szCs w:val="28"/>
          <w:lang w:val="en-US" w:eastAsia="zh-Hans" w:bidi="ar-SA"/>
        </w:rPr>
        <w:t>：</w:t>
      </w:r>
      <w:r>
        <w:rPr>
          <w:rFonts w:hint="eastAsia" w:ascii="宋体" w:hAnsi="宋体" w:eastAsia="宋体" w:cs="宋体"/>
          <w:kern w:val="0"/>
          <w:sz w:val="28"/>
          <w:szCs w:val="28"/>
          <w:u w:val="single"/>
          <w:lang w:val="en-US" w:eastAsia="zh-CN" w:bidi="ar-SA"/>
        </w:rPr>
        <w:t xml:space="preserve">                        </w:t>
      </w:r>
      <w:r>
        <w:rPr>
          <w:rFonts w:hint="eastAsia" w:ascii="宋体" w:hAnsi="宋体" w:eastAsia="宋体" w:cs="宋体"/>
          <w:kern w:val="0"/>
          <w:sz w:val="28"/>
          <w:szCs w:val="28"/>
          <w:u w:val="single"/>
          <w:lang w:val="en-US" w:eastAsia="zh-Hans" w:bidi="ar-SA"/>
        </w:rPr>
        <w:t>（盖章）</w:t>
      </w:r>
    </w:p>
    <w:p w14:paraId="5A8CF26A">
      <w:pPr>
        <w:spacing w:line="520" w:lineRule="exact"/>
        <w:rPr>
          <w:rFonts w:hint="default" w:ascii="宋体" w:hAnsi="宋体" w:eastAsia="宋体" w:cs="宋体"/>
          <w:kern w:val="0"/>
          <w:sz w:val="28"/>
          <w:szCs w:val="28"/>
          <w:u w:val="single"/>
          <w:lang w:val="en-US" w:eastAsia="zh-Hans" w:bidi="ar-SA"/>
        </w:rPr>
      </w:pPr>
      <w:r>
        <w:rPr>
          <w:rFonts w:hint="eastAsia" w:ascii="宋体" w:hAnsi="宋体" w:eastAsia="宋体" w:cs="宋体"/>
          <w:kern w:val="0"/>
          <w:sz w:val="28"/>
          <w:szCs w:val="28"/>
          <w:lang w:val="en-US" w:eastAsia="zh-Hans" w:bidi="ar-SA"/>
        </w:rPr>
        <w:t xml:space="preserve"> </w:t>
      </w:r>
      <w:r>
        <w:rPr>
          <w:rFonts w:hint="eastAsia" w:ascii="宋体" w:hAnsi="宋体" w:eastAsia="宋体" w:cs="宋体"/>
          <w:kern w:val="0"/>
          <w:sz w:val="28"/>
          <w:szCs w:val="28"/>
          <w:lang w:val="en-US" w:eastAsia="zh-CN" w:bidi="ar-SA"/>
        </w:rPr>
        <w:t xml:space="preserve">         </w:t>
      </w:r>
      <w:r>
        <w:rPr>
          <w:rFonts w:hint="eastAsia" w:ascii="宋体" w:hAnsi="宋体" w:eastAsia="宋体" w:cs="宋体"/>
          <w:kern w:val="0"/>
          <w:sz w:val="28"/>
          <w:szCs w:val="28"/>
          <w:lang w:val="en-US" w:eastAsia="zh-Hans" w:bidi="ar-SA"/>
        </w:rPr>
        <w:t>地  址：</w:t>
      </w:r>
      <w:r>
        <w:rPr>
          <w:rFonts w:hint="eastAsia" w:ascii="宋体" w:hAnsi="宋体" w:eastAsia="宋体" w:cs="宋体"/>
          <w:kern w:val="0"/>
          <w:sz w:val="28"/>
          <w:szCs w:val="28"/>
          <w:u w:val="single"/>
          <w:lang w:val="en-US" w:eastAsia="zh-CN" w:bidi="ar-SA"/>
        </w:rPr>
        <w:t xml:space="preserve">                             </w:t>
      </w:r>
      <w:r>
        <w:rPr>
          <w:rFonts w:hint="eastAsia" w:ascii="宋体" w:hAnsi="宋体" w:eastAsia="宋体" w:cs="宋体"/>
          <w:kern w:val="0"/>
          <w:sz w:val="28"/>
          <w:szCs w:val="28"/>
          <w:u w:val="single"/>
          <w:lang w:val="en-US" w:eastAsia="zh-Hans" w:bidi="ar-SA"/>
        </w:rPr>
        <w:t xml:space="preserve">  </w:t>
      </w:r>
    </w:p>
    <w:p w14:paraId="351CC38C">
      <w:pPr>
        <w:tabs>
          <w:tab w:val="left" w:pos="980"/>
        </w:tabs>
        <w:kinsoku w:val="0"/>
        <w:spacing w:line="520" w:lineRule="exact"/>
        <w:ind w:firstLine="1400" w:firstLineChars="500"/>
        <w:rPr>
          <w:rFonts w:ascii="宋体" w:hAnsi="宋体" w:eastAsia="宋体" w:cs="宋体"/>
          <w:bCs/>
          <w:sz w:val="28"/>
          <w:szCs w:val="28"/>
          <w:u w:val="single"/>
          <w:lang w:bidi="ar"/>
        </w:rPr>
      </w:pPr>
      <w:r>
        <w:rPr>
          <w:rFonts w:hint="eastAsia" w:ascii="宋体" w:hAnsi="宋体" w:eastAsia="宋体" w:cs="宋体"/>
          <w:sz w:val="28"/>
          <w:szCs w:val="28"/>
        </w:rPr>
        <w:t>开户行：</w:t>
      </w:r>
      <w:r>
        <w:rPr>
          <w:rFonts w:hint="eastAsia" w:ascii="宋体" w:hAnsi="宋体" w:eastAsia="宋体" w:cs="宋体"/>
          <w:bCs/>
          <w:sz w:val="28"/>
          <w:szCs w:val="28"/>
          <w:u w:val="single"/>
          <w:lang w:bidi="ar"/>
        </w:rPr>
        <w:t xml:space="preserve">                               </w:t>
      </w:r>
    </w:p>
    <w:p w14:paraId="55096779">
      <w:pPr>
        <w:ind w:firstLine="1400" w:firstLineChars="500"/>
        <w:rPr>
          <w:rFonts w:ascii="宋体" w:hAnsi="宋体" w:eastAsia="宋体" w:cs="宋体"/>
          <w:sz w:val="28"/>
          <w:szCs w:val="28"/>
        </w:rPr>
      </w:pPr>
      <w:r>
        <w:rPr>
          <w:rFonts w:hint="eastAsia" w:ascii="宋体" w:hAnsi="宋体" w:eastAsia="宋体" w:cs="宋体"/>
          <w:bCs/>
          <w:sz w:val="28"/>
          <w:szCs w:val="28"/>
          <w:lang w:bidi="ar"/>
        </w:rPr>
        <w:t>账  号：</w:t>
      </w:r>
      <w:r>
        <w:rPr>
          <w:rFonts w:hint="eastAsia" w:ascii="宋体" w:hAnsi="宋体" w:eastAsia="宋体" w:cs="宋体"/>
          <w:bCs/>
          <w:sz w:val="28"/>
          <w:szCs w:val="28"/>
          <w:u w:val="single"/>
          <w:lang w:bidi="ar"/>
        </w:rPr>
        <w:t xml:space="preserve">                               </w:t>
      </w:r>
      <w:r>
        <w:rPr>
          <w:rFonts w:hint="eastAsia" w:ascii="宋体" w:hAnsi="宋体" w:eastAsia="宋体" w:cs="宋体"/>
          <w:sz w:val="28"/>
          <w:szCs w:val="28"/>
        </w:rPr>
        <w:t xml:space="preserve">     </w:t>
      </w:r>
    </w:p>
    <w:p w14:paraId="34CB7D22">
      <w:pPr>
        <w:tabs>
          <w:tab w:val="left" w:pos="980"/>
        </w:tabs>
        <w:kinsoku w:val="0"/>
        <w:spacing w:line="520" w:lineRule="exact"/>
        <w:ind w:firstLine="1400" w:firstLineChars="500"/>
        <w:rPr>
          <w:rFonts w:ascii="宋体" w:hAnsi="宋体" w:eastAsia="宋体" w:cs="宋体"/>
          <w:sz w:val="28"/>
          <w:szCs w:val="28"/>
        </w:rPr>
      </w:pPr>
      <w:r>
        <w:rPr>
          <w:rFonts w:hint="eastAsia" w:ascii="宋体" w:hAnsi="宋体" w:eastAsia="宋体" w:cs="宋体"/>
          <w:sz w:val="28"/>
          <w:szCs w:val="28"/>
        </w:rPr>
        <w:t xml:space="preserve">法定代表人或其授权                   </w:t>
      </w:r>
    </w:p>
    <w:p w14:paraId="4F9A7DA6">
      <w:pPr>
        <w:tabs>
          <w:tab w:val="left" w:pos="980"/>
        </w:tabs>
        <w:kinsoku w:val="0"/>
        <w:spacing w:line="520" w:lineRule="exact"/>
        <w:ind w:firstLine="1400" w:firstLineChars="500"/>
        <w:rPr>
          <w:rFonts w:ascii="宋体" w:hAnsi="宋体" w:eastAsia="宋体" w:cs="宋体"/>
          <w:sz w:val="28"/>
          <w:szCs w:val="28"/>
          <w:u w:val="single"/>
        </w:rPr>
      </w:pPr>
      <w:r>
        <w:rPr>
          <w:rFonts w:hint="eastAsia" w:ascii="宋体" w:hAnsi="宋体" w:eastAsia="宋体" w:cs="宋体"/>
          <w:sz w:val="28"/>
          <w:szCs w:val="28"/>
        </w:rPr>
        <w:t xml:space="preserve">的代理人：（签字） </w:t>
      </w:r>
      <w:r>
        <w:rPr>
          <w:rFonts w:hint="eastAsia" w:ascii="宋体" w:hAnsi="宋体" w:eastAsia="宋体" w:cs="宋体"/>
          <w:sz w:val="28"/>
          <w:szCs w:val="28"/>
          <w:u w:val="single"/>
        </w:rPr>
        <w:t xml:space="preserve">                    </w:t>
      </w:r>
    </w:p>
    <w:p w14:paraId="7CBA1707">
      <w:pPr>
        <w:spacing w:line="520" w:lineRule="exact"/>
        <w:ind w:firstLine="420"/>
        <w:rPr>
          <w:rFonts w:ascii="宋体" w:hAnsi="宋体" w:eastAsia="宋体" w:cs="宋体"/>
          <w:sz w:val="28"/>
          <w:szCs w:val="28"/>
        </w:rPr>
      </w:pPr>
      <w:r>
        <w:rPr>
          <w:rFonts w:hint="eastAsia" w:ascii="等线" w:hAnsi="等线" w:eastAsia="等线" w:cs="Times New Roman"/>
        </w:rPr>
        <w:t xml:space="preserve">                                                       </w:t>
      </w:r>
      <w:r>
        <w:rPr>
          <w:rFonts w:hint="eastAsia" w:ascii="宋体" w:hAnsi="宋体" w:eastAsia="宋体" w:cs="宋体"/>
          <w:sz w:val="28"/>
          <w:szCs w:val="28"/>
          <w:lang w:eastAsia="zh-Hans"/>
        </w:rPr>
        <w:t xml:space="preserve">年   </w:t>
      </w:r>
      <w:r>
        <w:rPr>
          <w:rFonts w:hint="eastAsia" w:ascii="宋体" w:hAnsi="宋体" w:eastAsia="宋体" w:cs="宋体"/>
          <w:sz w:val="28"/>
          <w:szCs w:val="28"/>
        </w:rPr>
        <w:t xml:space="preserve"> </w:t>
      </w:r>
      <w:r>
        <w:rPr>
          <w:rFonts w:hint="eastAsia" w:ascii="宋体" w:hAnsi="宋体" w:eastAsia="宋体" w:cs="宋体"/>
          <w:sz w:val="28"/>
          <w:szCs w:val="28"/>
          <w:lang w:eastAsia="zh-Hans"/>
        </w:rPr>
        <w:t>月</w:t>
      </w:r>
      <w:r>
        <w:rPr>
          <w:rFonts w:hint="eastAsia" w:ascii="宋体" w:hAnsi="宋体" w:eastAsia="宋体" w:cs="宋体"/>
          <w:sz w:val="28"/>
          <w:szCs w:val="28"/>
        </w:rPr>
        <w:t xml:space="preserve">    </w:t>
      </w:r>
      <w:r>
        <w:rPr>
          <w:rFonts w:hint="eastAsia" w:ascii="宋体" w:hAnsi="宋体" w:eastAsia="宋体" w:cs="宋体"/>
          <w:sz w:val="28"/>
          <w:szCs w:val="28"/>
          <w:lang w:eastAsia="zh-Hans"/>
        </w:rPr>
        <w:t>日</w:t>
      </w:r>
    </w:p>
    <w:p w14:paraId="1C5D812E">
      <w:pPr>
        <w:rPr>
          <w:rFonts w:ascii="等线" w:hAnsi="等线" w:eastAsia="等线" w:cs="Times New Roman"/>
          <w:lang w:eastAsia="zh-Hans"/>
        </w:rPr>
      </w:pPr>
    </w:p>
    <w:p w14:paraId="4CC5FCE4"/>
    <w:p w14:paraId="51942E31">
      <w:pPr>
        <w:rPr>
          <w:rFonts w:hint="eastAsia"/>
          <w:color w:val="auto"/>
          <w:highlight w:val="none"/>
          <w:lang w:val="en-US" w:eastAsia="zh-Hans"/>
        </w:rPr>
      </w:pPr>
      <w:r>
        <w:rPr>
          <w:rFonts w:hint="eastAsia"/>
          <w:color w:val="auto"/>
          <w:highlight w:val="none"/>
          <w:lang w:val="en-US" w:eastAsia="zh-Hans"/>
        </w:rPr>
        <w:br w:type="page"/>
      </w:r>
    </w:p>
    <w:p w14:paraId="0B31F4DE">
      <w:pPr>
        <w:keepNext w:val="0"/>
        <w:keepLines w:val="0"/>
        <w:pageBreakBefore/>
        <w:widowControl/>
        <w:kinsoku w:val="0"/>
        <w:wordWrap/>
        <w:overflowPunct/>
        <w:topLinePunct w:val="0"/>
        <w:autoSpaceDE w:val="0"/>
        <w:autoSpaceDN w:val="0"/>
        <w:bidi w:val="0"/>
        <w:adjustRightInd w:val="0"/>
        <w:snapToGrid w:val="0"/>
        <w:jc w:val="left"/>
        <w:textAlignment w:val="baseline"/>
        <w:rPr>
          <w:rFonts w:ascii="宋体" w:hAnsi="宋体" w:eastAsia="宋体" w:cs="宋体"/>
          <w:b/>
          <w:bCs/>
          <w:snapToGrid w:val="0"/>
          <w:kern w:val="0"/>
          <w:sz w:val="30"/>
          <w:szCs w:val="30"/>
          <w:u w:val="single"/>
        </w:rPr>
      </w:pPr>
      <w:r>
        <w:rPr>
          <w:rFonts w:hint="eastAsia" w:ascii="宋体" w:hAnsi="宋体" w:eastAsia="宋体" w:cs="宋体"/>
          <w:b/>
          <w:bCs/>
          <w:snapToGrid w:val="0"/>
          <w:kern w:val="0"/>
          <w:sz w:val="30"/>
          <w:szCs w:val="30"/>
        </w:rPr>
        <w:t>政府采购项目</w:t>
      </w:r>
      <w:r>
        <w:rPr>
          <w:rFonts w:hint="eastAsia" w:ascii="宋体" w:hAnsi="宋体" w:eastAsia="等线" w:cs="宋体"/>
          <w:b/>
          <w:bCs/>
          <w:snapToGrid w:val="0"/>
          <w:kern w:val="0"/>
          <w:sz w:val="30"/>
          <w:szCs w:val="30"/>
        </w:rPr>
        <w:t xml:space="preserve">        </w:t>
      </w:r>
      <w:r>
        <w:rPr>
          <w:rFonts w:hint="eastAsia" w:ascii="宋体" w:hAnsi="宋体" w:eastAsia="宋体" w:cs="宋体"/>
          <w:b/>
          <w:bCs/>
          <w:snapToGrid w:val="0"/>
          <w:kern w:val="0"/>
          <w:sz w:val="30"/>
          <w:szCs w:val="30"/>
        </w:rPr>
        <w:t xml:space="preserve">             合同编号：</w:t>
      </w:r>
      <w:r>
        <w:rPr>
          <w:rFonts w:hint="eastAsia" w:ascii="宋体" w:hAnsi="宋体" w:eastAsia="宋体" w:cs="宋体"/>
          <w:b/>
          <w:bCs/>
          <w:sz w:val="30"/>
          <w:szCs w:val="30"/>
          <w:u w:val="single"/>
        </w:rPr>
        <w:t xml:space="preserve">              </w:t>
      </w:r>
    </w:p>
    <w:p w14:paraId="08FFB4BC">
      <w:pPr>
        <w:spacing w:line="324" w:lineRule="auto"/>
        <w:rPr>
          <w:rFonts w:ascii="Times New Roman" w:hAnsi="宋体" w:eastAsia="宋体" w:cs="宋体"/>
          <w:b/>
          <w:bCs/>
          <w:sz w:val="24"/>
        </w:rPr>
      </w:pPr>
    </w:p>
    <w:p w14:paraId="38B127A3">
      <w:pPr>
        <w:spacing w:line="324" w:lineRule="auto"/>
        <w:rPr>
          <w:rFonts w:ascii="Times New Roman" w:hAnsi="宋体" w:eastAsia="宋体" w:cs="宋体"/>
          <w:b/>
          <w:bCs/>
          <w:sz w:val="24"/>
        </w:rPr>
      </w:pPr>
    </w:p>
    <w:p w14:paraId="47C88C64">
      <w:pPr>
        <w:spacing w:line="324" w:lineRule="auto"/>
        <w:rPr>
          <w:rFonts w:ascii="Times New Roman" w:hAnsi="Times New Roman" w:eastAsia="宋体" w:cs="Times New Roman"/>
          <w:szCs w:val="21"/>
        </w:rPr>
      </w:pPr>
    </w:p>
    <w:p w14:paraId="3E091F28">
      <w:pPr>
        <w:rPr>
          <w:rFonts w:ascii="等线" w:hAnsi="等线" w:eastAsia="等线" w:cs="Times New Roman"/>
        </w:rPr>
      </w:pPr>
    </w:p>
    <w:p w14:paraId="335125D7">
      <w:pPr>
        <w:rPr>
          <w:rFonts w:ascii="等线" w:hAnsi="等线" w:eastAsia="等线" w:cs="Times New Roman"/>
        </w:rPr>
      </w:pPr>
    </w:p>
    <w:p w14:paraId="5FCB66AB">
      <w:pPr>
        <w:widowControl w:val="0"/>
        <w:spacing w:after="120"/>
        <w:jc w:val="both"/>
        <w:rPr>
          <w:rFonts w:ascii="等线" w:hAnsi="等线" w:eastAsia="等线" w:cs="Times New Roman"/>
          <w:kern w:val="2"/>
          <w:sz w:val="21"/>
          <w:szCs w:val="24"/>
          <w:lang w:val="en-US" w:eastAsia="zh-CN" w:bidi="ar-SA"/>
        </w:rPr>
      </w:pPr>
    </w:p>
    <w:p w14:paraId="58AEE35F">
      <w:pPr>
        <w:widowControl w:val="0"/>
        <w:spacing w:after="120"/>
        <w:ind w:hanging="7"/>
        <w:jc w:val="center"/>
        <w:rPr>
          <w:rFonts w:ascii="宋体" w:hAnsi="宋体" w:eastAsia="宋体" w:cs="宋体"/>
          <w:b/>
          <w:bCs/>
          <w:kern w:val="0"/>
          <w:sz w:val="44"/>
          <w:szCs w:val="44"/>
          <w:lang w:val="en-US" w:eastAsia="zh-CN" w:bidi="ar-SA"/>
        </w:rPr>
      </w:pPr>
      <w:r>
        <w:rPr>
          <w:rFonts w:hint="eastAsia" w:ascii="宋体" w:hAnsi="宋体" w:eastAsia="宋体" w:cs="宋体"/>
          <w:b/>
          <w:bCs/>
          <w:kern w:val="0"/>
          <w:sz w:val="44"/>
          <w:szCs w:val="44"/>
          <w:lang w:val="en-US" w:eastAsia="zh-CN" w:bidi="ar-SA"/>
        </w:rPr>
        <w:t>陕西省公路局</w:t>
      </w:r>
      <w:r>
        <w:rPr>
          <w:rFonts w:hint="eastAsia" w:ascii="宋体" w:hAnsi="宋体" w:cs="宋体"/>
          <w:b/>
          <w:bCs/>
          <w:kern w:val="0"/>
          <w:sz w:val="44"/>
          <w:szCs w:val="44"/>
          <w:lang w:val="en-US" w:eastAsia="zh-CN" w:bidi="ar-SA"/>
        </w:rPr>
        <w:t>数据安全风险评估</w:t>
      </w:r>
    </w:p>
    <w:p w14:paraId="355B55E0">
      <w:pPr>
        <w:widowControl w:val="0"/>
        <w:spacing w:after="120"/>
        <w:ind w:hanging="7"/>
        <w:jc w:val="center"/>
        <w:rPr>
          <w:rFonts w:ascii="宋体" w:hAnsi="宋体" w:eastAsia="宋体" w:cs="宋体"/>
          <w:b/>
          <w:bCs/>
          <w:kern w:val="0"/>
          <w:sz w:val="44"/>
          <w:szCs w:val="44"/>
          <w:lang w:val="en-US" w:eastAsia="zh-CN" w:bidi="ar-SA"/>
        </w:rPr>
      </w:pPr>
      <w:r>
        <w:rPr>
          <w:rFonts w:hint="eastAsia" w:ascii="宋体" w:hAnsi="宋体" w:eastAsia="宋体" w:cs="宋体"/>
          <w:b/>
          <w:bCs/>
          <w:kern w:val="0"/>
          <w:sz w:val="44"/>
          <w:szCs w:val="44"/>
          <w:lang w:val="en-US" w:eastAsia="zh-CN" w:bidi="ar-SA"/>
        </w:rPr>
        <w:t>服务合同</w:t>
      </w:r>
      <w:r>
        <w:rPr>
          <w:rFonts w:hint="eastAsia" w:ascii="宋体" w:hAnsi="宋体" w:cs="宋体"/>
          <w:b/>
          <w:bCs/>
          <w:kern w:val="0"/>
          <w:sz w:val="44"/>
          <w:szCs w:val="44"/>
          <w:lang w:val="en-US" w:eastAsia="zh-CN" w:bidi="ar-SA"/>
        </w:rPr>
        <w:t>（采购包2）</w:t>
      </w:r>
    </w:p>
    <w:p w14:paraId="276D723B">
      <w:pPr>
        <w:widowControl w:val="0"/>
        <w:spacing w:after="120"/>
        <w:ind w:hanging="7"/>
        <w:jc w:val="center"/>
        <w:outlineLvl w:val="9"/>
        <w:rPr>
          <w:rFonts w:ascii="宋体" w:hAnsi="宋体" w:eastAsia="宋体" w:cs="宋体"/>
          <w:b/>
          <w:bCs/>
          <w:kern w:val="0"/>
          <w:sz w:val="44"/>
          <w:szCs w:val="44"/>
          <w:lang w:val="en-US" w:eastAsia="zh-CN" w:bidi="ar-SA"/>
        </w:rPr>
      </w:pPr>
    </w:p>
    <w:p w14:paraId="75F129D5">
      <w:pPr>
        <w:spacing w:line="324" w:lineRule="auto"/>
        <w:rPr>
          <w:rFonts w:ascii="Times New Roman" w:hAnsi="宋体" w:eastAsia="宋体" w:cs="宋体"/>
          <w:sz w:val="18"/>
          <w:szCs w:val="21"/>
        </w:rPr>
      </w:pPr>
    </w:p>
    <w:p w14:paraId="361A7465">
      <w:pPr>
        <w:spacing w:line="324" w:lineRule="auto"/>
        <w:rPr>
          <w:rFonts w:ascii="Times New Roman" w:hAnsi="宋体" w:eastAsia="宋体" w:cs="宋体"/>
          <w:sz w:val="18"/>
          <w:szCs w:val="21"/>
        </w:rPr>
      </w:pPr>
    </w:p>
    <w:p w14:paraId="3C598FA2">
      <w:pPr>
        <w:spacing w:line="324" w:lineRule="auto"/>
        <w:rPr>
          <w:rFonts w:ascii="Times New Roman" w:hAnsi="Times New Roman" w:eastAsia="宋体" w:cs="Times New Roman"/>
          <w:szCs w:val="21"/>
        </w:rPr>
      </w:pPr>
    </w:p>
    <w:p w14:paraId="374D0152">
      <w:pPr>
        <w:spacing w:line="324" w:lineRule="auto"/>
        <w:rPr>
          <w:rFonts w:ascii="Times New Roman" w:hAnsi="Times New Roman" w:eastAsia="宋体" w:cs="Times New Roman"/>
          <w:szCs w:val="21"/>
        </w:rPr>
      </w:pPr>
    </w:p>
    <w:p w14:paraId="15C182E3">
      <w:pPr>
        <w:spacing w:line="324" w:lineRule="auto"/>
        <w:rPr>
          <w:rFonts w:ascii="Times New Roman" w:hAnsi="宋体" w:eastAsia="宋体" w:cs="宋体"/>
          <w:sz w:val="18"/>
          <w:szCs w:val="21"/>
        </w:rPr>
      </w:pPr>
    </w:p>
    <w:p w14:paraId="58EEAD2D">
      <w:pPr>
        <w:spacing w:line="324" w:lineRule="auto"/>
        <w:rPr>
          <w:rFonts w:ascii="Times New Roman" w:hAnsi="宋体" w:eastAsia="宋体" w:cs="宋体"/>
          <w:sz w:val="18"/>
          <w:szCs w:val="21"/>
        </w:rPr>
      </w:pPr>
    </w:p>
    <w:p w14:paraId="525069CD">
      <w:pPr>
        <w:spacing w:line="324" w:lineRule="auto"/>
        <w:jc w:val="center"/>
        <w:rPr>
          <w:rFonts w:ascii="Times New Roman" w:hAnsi="宋体" w:eastAsia="宋体" w:cs="宋体"/>
          <w:b/>
          <w:sz w:val="28"/>
          <w:szCs w:val="28"/>
        </w:rPr>
      </w:pPr>
    </w:p>
    <w:p w14:paraId="1E94E7B1">
      <w:pPr>
        <w:spacing w:before="156" w:beforeLines="50" w:line="360" w:lineRule="auto"/>
        <w:rPr>
          <w:rFonts w:ascii="Times New Roman" w:hAnsi="宋体" w:eastAsia="宋体" w:cs="宋体"/>
          <w:bCs/>
          <w:sz w:val="40"/>
          <w:szCs w:val="40"/>
        </w:rPr>
      </w:pPr>
    </w:p>
    <w:p w14:paraId="63821E12">
      <w:pPr>
        <w:spacing w:before="156" w:beforeLines="50" w:line="360" w:lineRule="auto"/>
        <w:jc w:val="center"/>
        <w:rPr>
          <w:rFonts w:ascii="Times New Roman" w:hAnsi="宋体" w:eastAsia="宋体" w:cs="宋体"/>
          <w:b/>
          <w:bCs/>
          <w:sz w:val="28"/>
          <w:szCs w:val="28"/>
        </w:rPr>
      </w:pPr>
    </w:p>
    <w:p w14:paraId="30B82804">
      <w:pPr>
        <w:widowControl/>
        <w:kinsoku w:val="0"/>
        <w:autoSpaceDE w:val="0"/>
        <w:autoSpaceDN w:val="0"/>
        <w:adjustRightInd w:val="0"/>
        <w:snapToGrid w:val="0"/>
        <w:spacing w:line="360" w:lineRule="auto"/>
        <w:ind w:firstLine="1263" w:firstLineChars="393"/>
        <w:jc w:val="left"/>
        <w:textAlignment w:val="baseline"/>
        <w:rPr>
          <w:rFonts w:ascii="宋体" w:hAnsi="宋体" w:eastAsia="宋体" w:cs="宋体"/>
          <w:b/>
          <w:bCs/>
          <w:snapToGrid w:val="0"/>
          <w:kern w:val="0"/>
          <w:sz w:val="32"/>
          <w:szCs w:val="32"/>
          <w:u w:val="single"/>
        </w:rPr>
      </w:pPr>
      <w:r>
        <w:rPr>
          <w:rFonts w:hint="eastAsia" w:ascii="宋体" w:hAnsi="宋体" w:eastAsia="宋体" w:cs="宋体"/>
          <w:b/>
          <w:bCs/>
          <w:snapToGrid w:val="0"/>
          <w:kern w:val="0"/>
          <w:sz w:val="32"/>
          <w:szCs w:val="32"/>
        </w:rPr>
        <w:t xml:space="preserve">采购人： </w:t>
      </w:r>
      <w:r>
        <w:rPr>
          <w:rFonts w:hint="eastAsia" w:ascii="宋体" w:hAnsi="宋体" w:eastAsia="宋体" w:cs="宋体"/>
          <w:b/>
          <w:bCs/>
          <w:snapToGrid w:val="0"/>
          <w:kern w:val="0"/>
          <w:sz w:val="32"/>
          <w:szCs w:val="32"/>
          <w:u w:val="single"/>
        </w:rPr>
        <w:t xml:space="preserve">  陕西省公路局 </w:t>
      </w:r>
      <w:r>
        <w:rPr>
          <w:rFonts w:ascii="宋体" w:hAnsi="宋体" w:eastAsia="宋体" w:cs="宋体"/>
          <w:b/>
          <w:bCs/>
          <w:snapToGrid w:val="0"/>
          <w:kern w:val="0"/>
          <w:sz w:val="32"/>
          <w:szCs w:val="32"/>
          <w:u w:val="single"/>
        </w:rPr>
        <w:t xml:space="preserve"> </w:t>
      </w:r>
      <w:r>
        <w:rPr>
          <w:rFonts w:hint="eastAsia" w:ascii="宋体" w:hAnsi="宋体" w:eastAsia="宋体" w:cs="宋体"/>
          <w:b/>
          <w:bCs/>
          <w:snapToGrid w:val="0"/>
          <w:kern w:val="0"/>
          <w:sz w:val="32"/>
          <w:szCs w:val="32"/>
          <w:u w:val="single"/>
        </w:rPr>
        <w:t xml:space="preserve">    </w:t>
      </w:r>
    </w:p>
    <w:p w14:paraId="41B253B7">
      <w:pPr>
        <w:widowControl/>
        <w:kinsoku w:val="0"/>
        <w:autoSpaceDE w:val="0"/>
        <w:autoSpaceDN w:val="0"/>
        <w:adjustRightInd w:val="0"/>
        <w:snapToGrid w:val="0"/>
        <w:spacing w:line="360" w:lineRule="auto"/>
        <w:ind w:firstLine="1263" w:firstLineChars="393"/>
        <w:jc w:val="left"/>
        <w:textAlignment w:val="baseline"/>
        <w:rPr>
          <w:rFonts w:ascii="宋体" w:hAnsi="宋体" w:eastAsia="宋体" w:cs="宋体"/>
          <w:b/>
          <w:bCs/>
          <w:snapToGrid w:val="0"/>
          <w:kern w:val="0"/>
          <w:sz w:val="32"/>
          <w:szCs w:val="32"/>
          <w:u w:val="single"/>
        </w:rPr>
      </w:pPr>
      <w:r>
        <w:rPr>
          <w:rFonts w:hint="eastAsia" w:ascii="宋体" w:hAnsi="宋体" w:eastAsia="宋体" w:cs="宋体"/>
          <w:b/>
          <w:bCs/>
          <w:snapToGrid w:val="0"/>
          <w:kern w:val="0"/>
          <w:sz w:val="32"/>
          <w:szCs w:val="32"/>
        </w:rPr>
        <w:t xml:space="preserve">供应商： </w:t>
      </w:r>
      <w:r>
        <w:rPr>
          <w:rFonts w:hint="eastAsia" w:ascii="宋体" w:hAnsi="宋体" w:eastAsia="宋体" w:cs="宋体"/>
          <w:b/>
          <w:bCs/>
          <w:snapToGrid w:val="0"/>
          <w:kern w:val="0"/>
          <w:sz w:val="32"/>
          <w:szCs w:val="32"/>
          <w:u w:val="single"/>
        </w:rPr>
        <w:t xml:space="preserve">                    </w:t>
      </w:r>
    </w:p>
    <w:p w14:paraId="207C97EA">
      <w:pPr>
        <w:widowControl/>
        <w:kinsoku w:val="0"/>
        <w:autoSpaceDE w:val="0"/>
        <w:autoSpaceDN w:val="0"/>
        <w:adjustRightInd w:val="0"/>
        <w:snapToGrid w:val="0"/>
        <w:spacing w:line="360" w:lineRule="auto"/>
        <w:ind w:firstLine="2866" w:firstLineChars="892"/>
        <w:jc w:val="left"/>
        <w:textAlignment w:val="baseline"/>
        <w:rPr>
          <w:rFonts w:ascii="宋体" w:hAnsi="宋体" w:eastAsia="宋体" w:cs="宋体"/>
          <w:b/>
          <w:bCs/>
          <w:snapToGrid w:val="0"/>
          <w:kern w:val="0"/>
          <w:sz w:val="32"/>
          <w:szCs w:val="32"/>
        </w:rPr>
      </w:pPr>
    </w:p>
    <w:p w14:paraId="246AED3F">
      <w:pPr>
        <w:widowControl/>
        <w:kinsoku w:val="0"/>
        <w:autoSpaceDE w:val="0"/>
        <w:autoSpaceDN w:val="0"/>
        <w:adjustRightInd w:val="0"/>
        <w:snapToGrid w:val="0"/>
        <w:spacing w:line="360" w:lineRule="auto"/>
        <w:ind w:firstLine="2866" w:firstLineChars="892"/>
        <w:jc w:val="left"/>
        <w:textAlignment w:val="baseline"/>
        <w:rPr>
          <w:rFonts w:ascii="宋体" w:hAnsi="宋体" w:eastAsia="宋体" w:cs="宋体"/>
          <w:b/>
          <w:bCs/>
          <w:sz w:val="24"/>
        </w:rPr>
      </w:pPr>
      <w:r>
        <w:rPr>
          <w:rFonts w:hint="eastAsia" w:ascii="宋体" w:hAnsi="宋体" w:eastAsia="宋体" w:cs="宋体"/>
          <w:b/>
          <w:bCs/>
          <w:snapToGrid w:val="0"/>
          <w:kern w:val="0"/>
          <w:sz w:val="32"/>
          <w:szCs w:val="32"/>
        </w:rPr>
        <w:t>二〇二六年  月</w:t>
      </w:r>
      <w:r>
        <w:rPr>
          <w:rFonts w:hint="eastAsia" w:ascii="Times New Roman" w:hAnsi="宋体" w:eastAsia="宋体" w:cs="宋体"/>
          <w:b/>
          <w:bCs/>
          <w:sz w:val="28"/>
          <w:szCs w:val="28"/>
        </w:rPr>
        <w:br w:type="page"/>
      </w:r>
    </w:p>
    <w:p w14:paraId="7A94A439">
      <w:pPr>
        <w:spacing w:before="156" w:beforeLines="50" w:line="360" w:lineRule="auto"/>
        <w:jc w:val="center"/>
        <w:rPr>
          <w:rFonts w:ascii="仿宋" w:hAnsi="仿宋" w:eastAsia="仿宋" w:cs="仿宋"/>
          <w:b/>
          <w:bCs/>
          <w:sz w:val="36"/>
          <w:szCs w:val="36"/>
        </w:rPr>
      </w:pPr>
      <w:r>
        <w:rPr>
          <w:rFonts w:hint="eastAsia" w:ascii="宋体" w:hAnsi="宋体" w:eastAsia="宋体" w:cs="宋体"/>
          <w:b/>
          <w:bCs/>
          <w:sz w:val="36"/>
          <w:szCs w:val="36"/>
        </w:rPr>
        <w:t>合同协议书</w:t>
      </w:r>
    </w:p>
    <w:p w14:paraId="64B2D856">
      <w:pPr>
        <w:spacing w:line="360" w:lineRule="auto"/>
        <w:ind w:firstLine="482" w:firstLineChars="200"/>
        <w:rPr>
          <w:rFonts w:ascii="宋体" w:hAnsi="宋体" w:eastAsia="宋体" w:cs="宋体"/>
          <w:b/>
          <w:bCs/>
          <w:sz w:val="24"/>
        </w:rPr>
      </w:pPr>
    </w:p>
    <w:p w14:paraId="5E081DD8">
      <w:pPr>
        <w:spacing w:line="520" w:lineRule="exact"/>
        <w:ind w:firstLine="562" w:firstLineChars="200"/>
        <w:rPr>
          <w:rFonts w:ascii="宋体" w:hAnsi="宋体" w:eastAsia="宋体" w:cs="宋体"/>
          <w:b/>
          <w:bCs/>
          <w:sz w:val="28"/>
          <w:szCs w:val="28"/>
          <w:u w:val="single"/>
        </w:rPr>
      </w:pPr>
      <w:r>
        <w:rPr>
          <w:rFonts w:hint="eastAsia" w:ascii="宋体" w:hAnsi="宋体" w:eastAsia="宋体" w:cs="宋体"/>
          <w:b/>
          <w:bCs/>
          <w:sz w:val="28"/>
          <w:szCs w:val="28"/>
        </w:rPr>
        <w:t>甲方（采购人）：</w:t>
      </w:r>
      <w:r>
        <w:rPr>
          <w:rFonts w:hint="eastAsia" w:ascii="宋体" w:hAnsi="宋体" w:eastAsia="宋体" w:cs="宋体"/>
          <w:b/>
          <w:bCs/>
          <w:sz w:val="28"/>
          <w:szCs w:val="28"/>
          <w:u w:val="single"/>
        </w:rPr>
        <w:t xml:space="preserve">   陕西省公路局                       </w:t>
      </w:r>
    </w:p>
    <w:p w14:paraId="7DF12101">
      <w:pPr>
        <w:spacing w:line="520" w:lineRule="exact"/>
        <w:ind w:firstLine="562" w:firstLineChars="200"/>
        <w:rPr>
          <w:rFonts w:ascii="宋体" w:hAnsi="宋体" w:eastAsia="宋体" w:cs="宋体"/>
          <w:b/>
          <w:bCs/>
          <w:sz w:val="28"/>
          <w:szCs w:val="28"/>
          <w:u w:val="single"/>
        </w:rPr>
      </w:pPr>
      <w:r>
        <w:rPr>
          <w:rFonts w:hint="eastAsia" w:ascii="宋体" w:hAnsi="宋体" w:eastAsia="宋体" w:cs="宋体"/>
          <w:b/>
          <w:bCs/>
          <w:sz w:val="28"/>
          <w:szCs w:val="28"/>
        </w:rPr>
        <w:t>乙方（供应商）：</w:t>
      </w:r>
      <w:r>
        <w:rPr>
          <w:rFonts w:hint="eastAsia" w:ascii="宋体" w:hAnsi="宋体" w:eastAsia="宋体" w:cs="宋体"/>
          <w:b/>
          <w:bCs/>
          <w:sz w:val="28"/>
          <w:szCs w:val="28"/>
          <w:u w:val="single"/>
        </w:rPr>
        <w:t xml:space="preserve">                                      </w:t>
      </w:r>
    </w:p>
    <w:p w14:paraId="0CE0338A">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根据《中华人民共和国民法典》</w:t>
      </w:r>
      <w:r>
        <w:rPr>
          <w:rFonts w:hint="eastAsia" w:ascii="宋体" w:hAnsi="宋体" w:eastAsia="宋体" w:cs="等线"/>
          <w:sz w:val="28"/>
          <w:szCs w:val="28"/>
        </w:rPr>
        <w:t>《中华人民共和国政府采购法》</w:t>
      </w:r>
      <w:r>
        <w:rPr>
          <w:rFonts w:hint="eastAsia" w:ascii="宋体" w:hAnsi="宋体" w:eastAsia="宋体" w:cs="宋体"/>
          <w:sz w:val="28"/>
          <w:szCs w:val="28"/>
        </w:rPr>
        <w:t>及其他有关法律、法规，遵循平等、自愿、公平和诚信的原则，双方就下述项目范围与相关服务事项协商一致，订立本合同。</w:t>
      </w:r>
    </w:p>
    <w:p w14:paraId="684D356A">
      <w:pPr>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一、项目概况</w:t>
      </w:r>
    </w:p>
    <w:p w14:paraId="594292A1">
      <w:pPr>
        <w:spacing w:line="520" w:lineRule="exact"/>
        <w:ind w:firstLine="560" w:firstLineChars="200"/>
        <w:rPr>
          <w:rFonts w:ascii="宋体" w:hAnsi="宋体" w:eastAsia="宋体" w:cs="宋体"/>
          <w:sz w:val="28"/>
          <w:szCs w:val="28"/>
          <w:u w:val="single"/>
        </w:rPr>
      </w:pPr>
      <w:r>
        <w:rPr>
          <w:rFonts w:hint="eastAsia" w:ascii="宋体" w:hAnsi="宋体" w:eastAsia="宋体" w:cs="宋体"/>
          <w:sz w:val="28"/>
          <w:szCs w:val="28"/>
        </w:rPr>
        <w:t>（一）项目名称：</w:t>
      </w:r>
      <w:r>
        <w:rPr>
          <w:rFonts w:hint="eastAsia" w:ascii="宋体" w:hAnsi="宋体" w:eastAsia="宋体" w:cs="宋体"/>
          <w:sz w:val="28"/>
          <w:szCs w:val="28"/>
          <w:u w:val="single"/>
        </w:rPr>
        <w:t xml:space="preserve">  陕西省公路局</w:t>
      </w:r>
      <w:r>
        <w:rPr>
          <w:rFonts w:hint="eastAsia" w:ascii="宋体" w:hAnsi="宋体" w:cs="宋体"/>
          <w:sz w:val="28"/>
          <w:szCs w:val="28"/>
          <w:u w:val="single"/>
          <w:lang w:eastAsia="zh-CN"/>
        </w:rPr>
        <w:t>数据安全风险评估（</w:t>
      </w:r>
      <w:r>
        <w:rPr>
          <w:rFonts w:hint="eastAsia" w:ascii="宋体" w:hAnsi="宋体" w:cs="宋体"/>
          <w:sz w:val="28"/>
          <w:szCs w:val="28"/>
          <w:u w:val="single"/>
          <w:lang w:val="en-US" w:eastAsia="zh-CN"/>
        </w:rPr>
        <w:t>采购包2</w:t>
      </w:r>
      <w:r>
        <w:rPr>
          <w:rFonts w:hint="eastAsia" w:ascii="宋体" w:hAnsi="宋体" w:cs="宋体"/>
          <w:sz w:val="28"/>
          <w:szCs w:val="28"/>
          <w:u w:val="single"/>
          <w:lang w:eastAsia="zh-CN"/>
        </w:rPr>
        <w:t>）</w:t>
      </w:r>
      <w:r>
        <w:rPr>
          <w:rFonts w:hint="eastAsia" w:ascii="宋体" w:hAnsi="宋体" w:eastAsia="宋体" w:cs="宋体"/>
          <w:sz w:val="28"/>
          <w:szCs w:val="28"/>
          <w:u w:val="single"/>
        </w:rPr>
        <w:t xml:space="preserve">。             </w:t>
      </w:r>
    </w:p>
    <w:p w14:paraId="4B906214">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（二）项目地点：</w:t>
      </w:r>
      <w:r>
        <w:rPr>
          <w:rFonts w:hint="eastAsia" w:ascii="宋体" w:hAnsi="宋体" w:eastAsia="宋体" w:cs="宋体"/>
          <w:sz w:val="28"/>
          <w:szCs w:val="28"/>
          <w:u w:val="single"/>
        </w:rPr>
        <w:t xml:space="preserve">  陕西省公路局指定地点。             </w:t>
      </w:r>
      <w:r>
        <w:rPr>
          <w:rFonts w:ascii="宋体" w:hAnsi="宋体" w:eastAsia="宋体" w:cs="宋体"/>
          <w:sz w:val="28"/>
          <w:szCs w:val="28"/>
          <w:u w:val="single"/>
        </w:rPr>
        <w:t xml:space="preserve"> </w:t>
      </w:r>
      <w:r>
        <w:rPr>
          <w:rFonts w:hint="eastAsia" w:ascii="宋体" w:hAnsi="宋体" w:eastAsia="宋体" w:cs="宋体"/>
          <w:sz w:val="28"/>
          <w:szCs w:val="28"/>
          <w:u w:val="single"/>
        </w:rPr>
        <w:t xml:space="preserve">   </w:t>
      </w:r>
    </w:p>
    <w:p w14:paraId="250539E1">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（三）服务内容：数据安全风险评估：对陕西省公路局的6个信息系统开展数据安全风险评估服务，评估完毕后出具《</w:t>
      </w:r>
      <w:r>
        <w:rPr>
          <w:rFonts w:hint="eastAsia" w:ascii="宋体" w:hAnsi="宋体" w:cs="宋体"/>
          <w:sz w:val="28"/>
          <w:szCs w:val="28"/>
          <w:lang w:eastAsia="zh-CN"/>
        </w:rPr>
        <w:t>数据安全风险评估报告</w:t>
      </w:r>
      <w:r>
        <w:rPr>
          <w:rFonts w:hint="eastAsia" w:ascii="宋体" w:hAnsi="宋体" w:eastAsia="宋体" w:cs="宋体"/>
          <w:sz w:val="28"/>
          <w:szCs w:val="28"/>
        </w:rPr>
        <w:t>》（每</w:t>
      </w:r>
      <w:r>
        <w:rPr>
          <w:rFonts w:hint="eastAsia" w:ascii="宋体" w:hAnsi="宋体" w:cs="宋体"/>
          <w:sz w:val="28"/>
          <w:szCs w:val="28"/>
          <w:lang w:val="en-US" w:eastAsia="zh-CN"/>
        </w:rPr>
        <w:t>个</w:t>
      </w:r>
      <w:r>
        <w:rPr>
          <w:rFonts w:hint="eastAsia" w:ascii="宋体" w:hAnsi="宋体" w:eastAsia="宋体" w:cs="宋体"/>
          <w:sz w:val="28"/>
          <w:szCs w:val="28"/>
        </w:rPr>
        <w:t>系统1份），并提出整改建议。</w:t>
      </w:r>
    </w:p>
    <w:p w14:paraId="4FAF22D7">
      <w:pPr>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二、合同金额</w:t>
      </w:r>
    </w:p>
    <w:p w14:paraId="6ABE224E">
      <w:pPr>
        <w:spacing w:line="520" w:lineRule="exact"/>
        <w:ind w:left="839" w:leftChars="266" w:hanging="280" w:hangingChars="100"/>
        <w:jc w:val="left"/>
        <w:rPr>
          <w:rFonts w:ascii="宋体" w:hAnsi="宋体" w:eastAsia="宋体" w:cs="宋体"/>
          <w:sz w:val="28"/>
          <w:szCs w:val="28"/>
        </w:rPr>
      </w:pPr>
      <w:r>
        <w:rPr>
          <w:rFonts w:hint="eastAsia" w:ascii="宋体" w:hAnsi="宋体" w:eastAsia="宋体" w:cs="宋体"/>
          <w:sz w:val="28"/>
          <w:szCs w:val="28"/>
        </w:rPr>
        <w:t>合同总价款(含税价)：</w:t>
      </w:r>
      <w:r>
        <w:rPr>
          <w:rFonts w:hint="eastAsia" w:ascii="宋体" w:hAnsi="宋体" w:eastAsia="宋体" w:cs="宋体"/>
          <w:sz w:val="28"/>
          <w:szCs w:val="28"/>
          <w:u w:val="single"/>
        </w:rPr>
        <w:t xml:space="preserve">                 (¥          </w:t>
      </w:r>
      <w:r>
        <w:rPr>
          <w:rFonts w:hint="eastAsia" w:ascii="宋体" w:hAnsi="宋体" w:eastAsia="宋体" w:cs="宋体"/>
          <w:sz w:val="28"/>
          <w:szCs w:val="28"/>
        </w:rPr>
        <w:t>元)。</w:t>
      </w:r>
    </w:p>
    <w:p w14:paraId="4B991B0E">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合同价格为含税价，乙方报价包含完成本项目所需的全部费用（包括但不限于劳务费、国家按现行税收政策征收的一切税、服务费、分析报告出具费用等一切费用），甲方无需再向乙方支付其他任何费用。</w:t>
      </w:r>
    </w:p>
    <w:p w14:paraId="77DEBFF2">
      <w:pPr>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三、服务期限</w:t>
      </w:r>
    </w:p>
    <w:p w14:paraId="06EA2196">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合同服务期为合同签订之日起【1年】。</w:t>
      </w:r>
    </w:p>
    <w:p w14:paraId="3EF6B2F8">
      <w:pPr>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四、结算方式</w:t>
      </w:r>
    </w:p>
    <w:p w14:paraId="5D78C77C">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（一）结算单位：</w:t>
      </w:r>
    </w:p>
    <w:p w14:paraId="19D8E310">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由甲方负责结算。费用结算采用银行转账方式，分期付款。乙方应在甲方每次付款前，按照甲方要求的发票类型和金额，向甲方开具合法有效的发票，税费由乙方承担。否则，甲方有权拒绝付款且不承担迟延支付的违约责任。</w:t>
      </w:r>
    </w:p>
    <w:p w14:paraId="3D9F8426">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（二）付款方式：</w:t>
      </w:r>
    </w:p>
    <w:p w14:paraId="7ED437FF">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1.合同签订后，甲方收到乙方缴纳的履约保证金及开具的等额增值税普通发票之日起二十个工作日内，向乙方支付合同总金额的60%款项</w:t>
      </w:r>
      <w:r>
        <w:rPr>
          <w:rFonts w:ascii="宋体" w:hAnsi="宋体" w:eastAsia="宋体" w:cs="宋体"/>
          <w:sz w:val="28"/>
          <w:szCs w:val="28"/>
        </w:rPr>
        <w:t>，共计：</w:t>
      </w:r>
      <w:r>
        <w:rPr>
          <w:rFonts w:ascii="宋体" w:hAnsi="宋体" w:eastAsia="宋体" w:cs="宋体"/>
          <w:sz w:val="28"/>
          <w:szCs w:val="28"/>
          <w:u w:val="single"/>
        </w:rPr>
        <w:t>人民币     （¥          元）</w:t>
      </w:r>
      <w:r>
        <w:rPr>
          <w:rFonts w:ascii="宋体" w:hAnsi="宋体" w:eastAsia="宋体" w:cs="宋体"/>
          <w:sz w:val="28"/>
          <w:szCs w:val="28"/>
        </w:rPr>
        <w:t>。</w:t>
      </w:r>
      <w:r>
        <w:rPr>
          <w:rFonts w:hint="eastAsia" w:ascii="宋体" w:hAnsi="宋体" w:eastAsia="宋体" w:cs="宋体"/>
          <w:sz w:val="28"/>
          <w:szCs w:val="28"/>
        </w:rPr>
        <w:t>提交测评报告经甲方审核通过后</w:t>
      </w:r>
      <w:r>
        <w:rPr>
          <w:rFonts w:hint="eastAsia" w:ascii="宋体" w:hAnsi="宋体" w:cs="宋体"/>
          <w:sz w:val="28"/>
          <w:szCs w:val="28"/>
          <w:lang w:eastAsia="zh-CN"/>
        </w:rPr>
        <w:t>，乙方向甲方提供等额增值税普通发票，甲方收到符合要求的发票后支付剩余合同总金额的40%款项</w:t>
      </w:r>
      <w:r>
        <w:rPr>
          <w:rFonts w:ascii="宋体" w:hAnsi="宋体" w:eastAsia="宋体" w:cs="宋体"/>
          <w:sz w:val="28"/>
          <w:szCs w:val="28"/>
        </w:rPr>
        <w:t>，共计</w:t>
      </w:r>
      <w:r>
        <w:rPr>
          <w:rFonts w:hint="eastAsia" w:ascii="宋体" w:hAnsi="宋体" w:eastAsia="宋体" w:cs="宋体"/>
          <w:sz w:val="28"/>
          <w:szCs w:val="28"/>
        </w:rPr>
        <w:t>：</w:t>
      </w:r>
      <w:r>
        <w:rPr>
          <w:rFonts w:ascii="宋体" w:hAnsi="宋体" w:eastAsia="宋体" w:cs="宋体"/>
          <w:sz w:val="28"/>
          <w:szCs w:val="28"/>
          <w:u w:val="single"/>
        </w:rPr>
        <w:t>人民币</w:t>
      </w:r>
      <w:r>
        <w:rPr>
          <w:rFonts w:hint="eastAsia" w:ascii="宋体" w:hAnsi="宋体" w:eastAsia="宋体" w:cs="宋体"/>
          <w:sz w:val="28"/>
          <w:szCs w:val="28"/>
          <w:u w:val="single"/>
        </w:rPr>
        <w:t xml:space="preserve"> </w:t>
      </w:r>
      <w:r>
        <w:rPr>
          <w:rFonts w:ascii="宋体" w:hAnsi="宋体" w:eastAsia="宋体" w:cs="宋体"/>
          <w:sz w:val="28"/>
          <w:szCs w:val="28"/>
          <w:u w:val="single"/>
        </w:rPr>
        <w:t xml:space="preserve">    （¥          元）</w:t>
      </w:r>
      <w:r>
        <w:rPr>
          <w:rFonts w:ascii="宋体" w:hAnsi="宋体" w:eastAsia="宋体" w:cs="宋体"/>
          <w:sz w:val="28"/>
          <w:szCs w:val="28"/>
        </w:rPr>
        <w:t>。</w:t>
      </w:r>
    </w:p>
    <w:p w14:paraId="6A8F5C0B">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2.合同签订前，乙方须向甲方缴纳合同总金额5%的履约保证金，履约保证金待乙方履行完全部合同义务，并经甲方验收合格且无任何纠纷后无息退还。</w:t>
      </w:r>
    </w:p>
    <w:p w14:paraId="7E438F1C">
      <w:pPr>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五、主要工作内容</w:t>
      </w:r>
    </w:p>
    <w:p w14:paraId="039713C2">
      <w:pPr>
        <w:spacing w:line="520" w:lineRule="exact"/>
        <w:ind w:firstLine="560" w:firstLineChars="200"/>
        <w:rPr>
          <w:rFonts w:ascii="宋体" w:hAnsi="宋体" w:eastAsia="宋体" w:cs="宋体"/>
          <w:bCs/>
          <w:sz w:val="28"/>
          <w:szCs w:val="28"/>
        </w:rPr>
      </w:pPr>
      <w:r>
        <w:rPr>
          <w:rFonts w:hint="eastAsia" w:ascii="宋体" w:hAnsi="宋体" w:eastAsia="宋体" w:cs="宋体"/>
          <w:bCs/>
          <w:sz w:val="28"/>
          <w:szCs w:val="28"/>
        </w:rPr>
        <w:t>（一）服务内容</w:t>
      </w:r>
    </w:p>
    <w:p w14:paraId="52E7CF1C">
      <w:pPr>
        <w:spacing w:line="520" w:lineRule="exact"/>
        <w:ind w:firstLine="560" w:firstLineChars="200"/>
        <w:rPr>
          <w:rFonts w:ascii="宋体" w:hAnsi="宋体" w:eastAsia="宋体" w:cs="宋体"/>
          <w:bCs/>
          <w:sz w:val="28"/>
          <w:szCs w:val="28"/>
        </w:rPr>
      </w:pPr>
      <w:r>
        <w:rPr>
          <w:rFonts w:hint="eastAsia" w:ascii="宋体" w:hAnsi="宋体" w:eastAsia="宋体" w:cs="宋体"/>
          <w:bCs/>
          <w:sz w:val="28"/>
          <w:szCs w:val="28"/>
        </w:rPr>
        <w:t>对陕西省公路局的6个信息系统开展数据安全风险评估服务，评估完毕后出具《</w:t>
      </w:r>
      <w:r>
        <w:rPr>
          <w:rFonts w:hint="eastAsia" w:ascii="宋体" w:hAnsi="宋体" w:cs="宋体"/>
          <w:bCs/>
          <w:sz w:val="28"/>
          <w:szCs w:val="28"/>
          <w:lang w:eastAsia="zh-CN"/>
        </w:rPr>
        <w:t>数据安全风险评估报告</w:t>
      </w:r>
      <w:r>
        <w:rPr>
          <w:rFonts w:hint="eastAsia" w:ascii="宋体" w:hAnsi="宋体" w:eastAsia="宋体" w:cs="宋体"/>
          <w:bCs/>
          <w:sz w:val="28"/>
          <w:szCs w:val="28"/>
        </w:rPr>
        <w:t>》（每</w:t>
      </w:r>
      <w:r>
        <w:rPr>
          <w:rFonts w:hint="eastAsia" w:ascii="宋体" w:hAnsi="宋体" w:cs="宋体"/>
          <w:bCs/>
          <w:sz w:val="28"/>
          <w:szCs w:val="28"/>
          <w:lang w:val="en-US" w:eastAsia="zh-CN"/>
        </w:rPr>
        <w:t>个</w:t>
      </w:r>
      <w:r>
        <w:rPr>
          <w:rFonts w:hint="eastAsia" w:ascii="宋体" w:hAnsi="宋体" w:eastAsia="宋体" w:cs="宋体"/>
          <w:bCs/>
          <w:sz w:val="28"/>
          <w:szCs w:val="28"/>
        </w:rPr>
        <w:t>系统1份），并提出整改建议。</w:t>
      </w:r>
    </w:p>
    <w:p w14:paraId="5B3C8803">
      <w:pPr>
        <w:spacing w:line="520" w:lineRule="exact"/>
        <w:ind w:firstLine="560" w:firstLineChars="200"/>
        <w:rPr>
          <w:rFonts w:ascii="宋体" w:hAnsi="宋体" w:eastAsia="宋体" w:cs="宋体"/>
          <w:bCs/>
          <w:sz w:val="28"/>
          <w:szCs w:val="28"/>
        </w:rPr>
      </w:pPr>
      <w:r>
        <w:rPr>
          <w:rFonts w:hint="eastAsia" w:ascii="宋体" w:hAnsi="宋体" w:eastAsia="宋体" w:cs="宋体"/>
          <w:bCs/>
          <w:sz w:val="28"/>
          <w:szCs w:val="28"/>
        </w:rPr>
        <w:t>（二）服务要求</w:t>
      </w:r>
    </w:p>
    <w:p w14:paraId="704648F0">
      <w:pPr>
        <w:spacing w:line="520" w:lineRule="exact"/>
        <w:ind w:firstLine="560" w:firstLineChars="200"/>
        <w:rPr>
          <w:rFonts w:hint="eastAsia" w:ascii="宋体" w:hAnsi="宋体" w:eastAsia="宋体" w:cs="宋体"/>
          <w:sz w:val="28"/>
          <w:szCs w:val="28"/>
          <w:lang w:val="zh-CN" w:eastAsia="zh-CN"/>
        </w:rPr>
      </w:pPr>
      <w:r>
        <w:rPr>
          <w:rFonts w:hint="eastAsia" w:ascii="宋体" w:hAnsi="宋体" w:cs="宋体"/>
          <w:sz w:val="28"/>
          <w:szCs w:val="28"/>
          <w:lang w:val="en-US" w:eastAsia="zh-CN"/>
        </w:rPr>
        <w:t>1.</w:t>
      </w:r>
      <w:r>
        <w:rPr>
          <w:rFonts w:hint="eastAsia" w:ascii="宋体" w:hAnsi="宋体" w:eastAsia="宋体" w:cs="宋体"/>
          <w:sz w:val="28"/>
          <w:szCs w:val="28"/>
          <w:lang w:val="zh-CN" w:eastAsia="zh-CN"/>
        </w:rPr>
        <w:t>技术要求</w:t>
      </w:r>
    </w:p>
    <w:p w14:paraId="065004F6">
      <w:pPr>
        <w:spacing w:line="520" w:lineRule="exact"/>
        <w:ind w:firstLine="560" w:firstLineChars="200"/>
        <w:rPr>
          <w:rFonts w:hint="eastAsia" w:ascii="宋体" w:hAnsi="宋体" w:eastAsia="宋体" w:cs="宋体"/>
          <w:sz w:val="28"/>
          <w:szCs w:val="28"/>
          <w:lang w:val="zh-CN" w:eastAsia="zh-CN"/>
        </w:rPr>
      </w:pPr>
      <w:r>
        <w:rPr>
          <w:rFonts w:hint="eastAsia" w:ascii="宋体" w:hAnsi="宋体" w:eastAsia="宋体" w:cs="宋体"/>
          <w:sz w:val="28"/>
          <w:szCs w:val="28"/>
          <w:lang w:val="zh-CN" w:eastAsia="zh-CN"/>
        </w:rPr>
        <w:t>根据《数据安全技术 数据安全风险评估方法》（GB/T45577-2025）、《数据安全技术数据分类分级规则》（GB/T 43697-2024）、《信息安全技术个人信息安全规范》（GB/T 35273-2020）、《信息安全技术 信息安全风险评估方法》（GB/T 20984-2022）等标准开展6个业务系统数据安全风险评估工作。围绕数据和数据处理的活动，通过信息调研识别数据处理者、业务和信息系统、数据、数据处理活动、安全措施等相关要素，从数据安全管理、数据处理活动、数据安全技术、个人信息保护等方面识别风险，梳理风险源清单分析数据安全风险，出具《数据安全风险评估报告》。</w:t>
      </w:r>
    </w:p>
    <w:p w14:paraId="250883D4">
      <w:pPr>
        <w:spacing w:line="520" w:lineRule="exact"/>
        <w:ind w:firstLine="560" w:firstLineChars="200"/>
        <w:rPr>
          <w:rFonts w:hint="eastAsia" w:ascii="宋体" w:hAnsi="宋体" w:eastAsia="宋体" w:cs="宋体"/>
          <w:sz w:val="28"/>
          <w:szCs w:val="28"/>
          <w:lang w:val="zh-CN" w:eastAsia="zh-CN"/>
        </w:rPr>
      </w:pPr>
      <w:r>
        <w:rPr>
          <w:rFonts w:hint="eastAsia" w:ascii="宋体" w:hAnsi="宋体" w:cs="宋体"/>
          <w:sz w:val="28"/>
          <w:szCs w:val="28"/>
          <w:lang w:val="en-US" w:eastAsia="zh-CN"/>
        </w:rPr>
        <w:t>2.</w:t>
      </w:r>
      <w:r>
        <w:rPr>
          <w:rFonts w:hint="eastAsia" w:ascii="宋体" w:hAnsi="宋体" w:eastAsia="宋体" w:cs="宋体"/>
          <w:sz w:val="28"/>
          <w:szCs w:val="28"/>
          <w:lang w:val="zh-CN" w:eastAsia="zh-CN"/>
        </w:rPr>
        <w:t>保密要求</w:t>
      </w:r>
    </w:p>
    <w:p w14:paraId="41D310DA">
      <w:pPr>
        <w:spacing w:line="520" w:lineRule="exact"/>
        <w:ind w:firstLine="560" w:firstLineChars="200"/>
        <w:rPr>
          <w:rFonts w:hint="eastAsia" w:ascii="宋体" w:hAnsi="宋体" w:eastAsia="宋体" w:cs="宋体"/>
          <w:sz w:val="28"/>
          <w:szCs w:val="28"/>
          <w:lang w:val="zh-CN" w:eastAsia="zh-CN"/>
        </w:rPr>
      </w:pPr>
      <w:r>
        <w:rPr>
          <w:rFonts w:hint="eastAsia" w:ascii="宋体" w:hAnsi="宋体" w:cs="宋体"/>
          <w:sz w:val="28"/>
          <w:szCs w:val="28"/>
          <w:lang w:val="zh-CN" w:eastAsia="zh-CN"/>
        </w:rPr>
        <w:t>供应商</w:t>
      </w:r>
      <w:r>
        <w:rPr>
          <w:rFonts w:hint="eastAsia" w:ascii="宋体" w:hAnsi="宋体" w:eastAsia="宋体" w:cs="宋体"/>
          <w:sz w:val="28"/>
          <w:szCs w:val="28"/>
          <w:lang w:val="zh-CN" w:eastAsia="zh-CN"/>
        </w:rPr>
        <w:t>对工作中了解到的陕西省公路局的技术和数据等信息进行严格保密，不得向他人泄漏。服务期结束之日起30个工作日内，</w:t>
      </w:r>
      <w:r>
        <w:rPr>
          <w:rFonts w:hint="eastAsia" w:ascii="宋体" w:hAnsi="宋体" w:cs="宋体"/>
          <w:sz w:val="28"/>
          <w:szCs w:val="28"/>
          <w:lang w:val="zh-CN" w:eastAsia="zh-CN"/>
        </w:rPr>
        <w:t>供应商</w:t>
      </w:r>
      <w:r>
        <w:rPr>
          <w:rFonts w:hint="eastAsia" w:ascii="宋体" w:hAnsi="宋体" w:eastAsia="宋体" w:cs="宋体"/>
          <w:sz w:val="28"/>
          <w:szCs w:val="28"/>
          <w:lang w:val="zh-CN" w:eastAsia="zh-CN"/>
        </w:rPr>
        <w:t>应删除本项目服务过程中产生的全部信息和数据。</w:t>
      </w:r>
    </w:p>
    <w:p w14:paraId="513B48AE">
      <w:pPr>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六、其他要求</w:t>
      </w:r>
    </w:p>
    <w:p w14:paraId="40691EDD">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满足交通运输部、陕西省交通运输主管部门印发的规范性文件以及招标文件相关技术要求。</w:t>
      </w:r>
    </w:p>
    <w:p w14:paraId="36BFD13B">
      <w:pPr>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七、验收</w:t>
      </w:r>
    </w:p>
    <w:p w14:paraId="32B6BE4E">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一）乙方完成合同约定的全部内容后，应向甲方提交书面的服务成果报告及验收申请。同时向甲方提交项目实施过程中的所有资料,以便甲方日后管理和维护该项目。乙方提交的各项成果资料均应满足国家现行的相关技术标准、规范、规程等以及我省公路管理相关规定。</w:t>
      </w:r>
    </w:p>
    <w:p w14:paraId="3F92E3B2">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（二）甲方收到乙方的验收申请后，组织乙方（必要时请有关专家）进行项目验收。乙方提交合同履约情况总结报告，并经甲方确认。验收合格后，填写项目验收单作为对项目的最终认可。</w:t>
      </w:r>
    </w:p>
    <w:p w14:paraId="086FD1B4">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（三）验收依据：①本合同及附件文本；②竞争性磋商文件、磋商响应文件、澄清表（函）；③国家相应的标准、规范。</w:t>
      </w:r>
    </w:p>
    <w:p w14:paraId="28A40005">
      <w:pPr>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技术审查、验收不合格的限期整改，整改过程中产生的一切费用和损失由乙方承担。整改超过二次的，甲方有权单方解除本合同，乙方应无条件退还已收取的全部合同价款，给甲方造成损失的应予以赔偿，且乙方应按合同总金额的10%向甲方支付违约金。</w:t>
      </w:r>
    </w:p>
    <w:p w14:paraId="3538792C">
      <w:pPr>
        <w:tabs>
          <w:tab w:val="left" w:pos="980"/>
        </w:tabs>
        <w:kinsoku w:val="0"/>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八、保密</w:t>
      </w:r>
    </w:p>
    <w:p w14:paraId="31D607E4">
      <w:pPr>
        <w:tabs>
          <w:tab w:val="left" w:pos="980"/>
        </w:tabs>
        <w:kinsoku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乙方对工作中了解到的甲方的技术、数据、机密等进行严格保密，不得向他人泄漏。本合同的解除或终止不免除乙方应承担的保密义务。</w:t>
      </w:r>
    </w:p>
    <w:p w14:paraId="7EF03298">
      <w:pPr>
        <w:tabs>
          <w:tab w:val="left" w:pos="980"/>
        </w:tabs>
        <w:kinsoku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乙方违反保密规定的，除承担法律责任外，还应向甲方支付合同总金额</w:t>
      </w:r>
      <w:r>
        <w:rPr>
          <w:rFonts w:ascii="宋体" w:hAnsi="宋体" w:eastAsia="宋体" w:cs="宋体"/>
          <w:sz w:val="28"/>
          <w:szCs w:val="28"/>
          <w:u w:val="single"/>
        </w:rPr>
        <w:t>10</w:t>
      </w:r>
      <w:r>
        <w:rPr>
          <w:rFonts w:hint="eastAsia" w:ascii="宋体" w:hAnsi="宋体" w:eastAsia="宋体" w:cs="宋体"/>
          <w:sz w:val="28"/>
          <w:szCs w:val="28"/>
        </w:rPr>
        <w:t>%的违约金，给甲方造成损失的，乙方还应予以赔偿。</w:t>
      </w:r>
    </w:p>
    <w:p w14:paraId="2E4B255A">
      <w:pPr>
        <w:tabs>
          <w:tab w:val="left" w:pos="980"/>
        </w:tabs>
        <w:kinsoku w:val="0"/>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九、知识产权</w:t>
      </w:r>
    </w:p>
    <w:p w14:paraId="48236BB0">
      <w:pPr>
        <w:tabs>
          <w:tab w:val="left" w:pos="980"/>
        </w:tabs>
        <w:kinsoku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乙方应对所供服务具有或已取得合法知识产权，乙方应保证所供服务不会出现因第三方提出侵犯其专利权、商标权或其它知识产权而引发法律或经济纠纷，否则由乙方负责解决并承担全部责任；如因此影响到甲方的正常使用，甲方有权单方解除本合同，乙方应无条件向甲方退回已收取的全部合同价款，并向甲方承担合同总金额</w:t>
      </w:r>
      <w:r>
        <w:rPr>
          <w:rFonts w:hint="eastAsia" w:ascii="宋体" w:hAnsi="宋体" w:eastAsia="宋体" w:cs="宋体"/>
          <w:sz w:val="28"/>
          <w:szCs w:val="28"/>
          <w:u w:val="single"/>
        </w:rPr>
        <w:t xml:space="preserve"> </w:t>
      </w:r>
      <w:r>
        <w:rPr>
          <w:rFonts w:ascii="宋体" w:hAnsi="宋体" w:eastAsia="宋体" w:cs="宋体"/>
          <w:sz w:val="28"/>
          <w:szCs w:val="28"/>
          <w:u w:val="single"/>
        </w:rPr>
        <w:t>10</w:t>
      </w:r>
      <w:r>
        <w:rPr>
          <w:rFonts w:hint="eastAsia" w:ascii="宋体" w:hAnsi="宋体" w:eastAsia="宋体" w:cs="宋体"/>
          <w:sz w:val="28"/>
          <w:szCs w:val="28"/>
          <w:u w:val="single"/>
        </w:rPr>
        <w:t xml:space="preserve"> </w:t>
      </w:r>
      <w:r>
        <w:rPr>
          <w:rFonts w:hint="eastAsia" w:ascii="宋体" w:hAnsi="宋体" w:eastAsia="宋体" w:cs="宋体"/>
          <w:sz w:val="28"/>
          <w:szCs w:val="28"/>
        </w:rPr>
        <w:t>%的违约金，给甲方造成损失的，乙方应予以赔偿。</w:t>
      </w:r>
    </w:p>
    <w:p w14:paraId="0B9FDEE2">
      <w:pPr>
        <w:widowControl w:val="0"/>
        <w:overflowPunct w:val="0"/>
        <w:ind w:firstLine="562" w:firstLineChars="200"/>
        <w:jc w:val="left"/>
        <w:rPr>
          <w:rFonts w:ascii="等线" w:hAnsi="等线" w:eastAsia="等线" w:cs="Times New Roman"/>
          <w:kern w:val="2"/>
          <w:sz w:val="21"/>
          <w:szCs w:val="24"/>
          <w:lang w:val="en-US" w:eastAsia="zh-CN" w:bidi="ar-SA"/>
        </w:rPr>
      </w:pPr>
      <w:r>
        <w:rPr>
          <w:rFonts w:hint="eastAsia" w:ascii="宋体" w:hAnsi="宋体" w:eastAsia="宋体" w:cs="宋体"/>
          <w:b/>
          <w:bCs/>
          <w:kern w:val="2"/>
          <w:sz w:val="28"/>
          <w:szCs w:val="28"/>
          <w:lang w:val="en-US" w:eastAsia="zh-CN" w:bidi="ar-SA"/>
        </w:rPr>
        <w:t>十、违约责任</w:t>
      </w:r>
    </w:p>
    <w:p w14:paraId="784B84DE">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（一）甲乙双方必须遵守本合同并执行合同中的各项规定，保证本合同的正常履行。</w:t>
      </w:r>
    </w:p>
    <w:p w14:paraId="334548A0">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二）如因乙方工作人员在履行职务过程中的疏忽、失职、过错等故意或者过失原因给甲方造成损失或侵害，包括但不限于甲方本身的财产损失、由此而导致的甲方对任何第三方的法律责任等，乙方对此均应承担全部的赔偿责任。</w:t>
      </w:r>
    </w:p>
    <w:p w14:paraId="2C576ECB">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三）因省财政年度预算拨款等政策要求，甲方向乙方支付全部合同价款不视为双方合同履约结束，乙方仍应按照合同约定，完成全部工作内容，否则将视为乙方存在严重失信行为，甲方将上报省财政厅，将乙方列入信用“黑名单”，并在“中国政府采购网”、“信用中国”等网站公示；同时甲方保留要求乙方退还合同价款、赔偿损失的权利。</w:t>
      </w:r>
    </w:p>
    <w:p w14:paraId="2AD1B39A">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（四）乙方逾期完成服务的，每逾期一日，向甲方承担合同总金额</w:t>
      </w:r>
      <w:r>
        <w:rPr>
          <w:rFonts w:hint="eastAsia" w:ascii="宋体" w:hAnsi="宋体" w:eastAsia="宋体" w:cs="宋体"/>
          <w:sz w:val="28"/>
          <w:szCs w:val="28"/>
          <w:u w:val="single"/>
        </w:rPr>
        <w:t xml:space="preserve"> </w:t>
      </w:r>
      <w:r>
        <w:rPr>
          <w:rFonts w:ascii="宋体" w:hAnsi="宋体" w:eastAsia="宋体" w:cs="宋体"/>
          <w:sz w:val="28"/>
          <w:szCs w:val="28"/>
          <w:u w:val="single"/>
        </w:rPr>
        <w:t>1</w:t>
      </w:r>
      <w:r>
        <w:rPr>
          <w:rFonts w:hint="eastAsia" w:ascii="宋体" w:hAnsi="宋体" w:eastAsia="宋体" w:cs="宋体"/>
          <w:sz w:val="28"/>
          <w:szCs w:val="28"/>
          <w:u w:val="single"/>
        </w:rPr>
        <w:t xml:space="preserve"> </w:t>
      </w:r>
      <w:r>
        <w:rPr>
          <w:rFonts w:hint="eastAsia" w:ascii="宋体" w:hAnsi="宋体" w:eastAsia="宋体" w:cs="宋体"/>
          <w:sz w:val="28"/>
          <w:szCs w:val="28"/>
        </w:rPr>
        <w:t>%的违约金，逾期</w:t>
      </w:r>
      <w:r>
        <w:rPr>
          <w:rFonts w:ascii="宋体" w:hAnsi="宋体" w:eastAsia="宋体" w:cs="宋体"/>
          <w:sz w:val="28"/>
          <w:szCs w:val="28"/>
          <w:u w:val="single"/>
        </w:rPr>
        <w:t>10</w:t>
      </w:r>
      <w:r>
        <w:rPr>
          <w:rFonts w:hint="eastAsia" w:ascii="宋体" w:hAnsi="宋体" w:eastAsia="宋体" w:cs="宋体"/>
          <w:sz w:val="28"/>
          <w:szCs w:val="28"/>
        </w:rPr>
        <w:t>日的，甲方有权单方解除本合同且保留追究乙方违约责任的权利，给甲方造成损失的，乙方还应予以赔偿。</w:t>
      </w:r>
    </w:p>
    <w:p w14:paraId="015AB994">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（五）乙方应保证其提交的服务成果不存在侵犯他人权益的情形，否则，因此引发的责任及纠纷由乙方承担，对甲方造成损失的，乙方应予以赔偿，此外，乙方还应向甲方承担合同总金额</w:t>
      </w:r>
      <w:r>
        <w:rPr>
          <w:rFonts w:hint="eastAsia" w:ascii="宋体" w:hAnsi="宋体" w:eastAsia="宋体" w:cs="宋体"/>
          <w:sz w:val="28"/>
          <w:szCs w:val="28"/>
          <w:u w:val="single"/>
        </w:rPr>
        <w:t xml:space="preserve"> </w:t>
      </w:r>
      <w:r>
        <w:rPr>
          <w:rFonts w:ascii="宋体" w:hAnsi="宋体" w:eastAsia="宋体" w:cs="宋体"/>
          <w:sz w:val="28"/>
          <w:szCs w:val="28"/>
          <w:u w:val="single"/>
        </w:rPr>
        <w:t>10</w:t>
      </w:r>
      <w:r>
        <w:rPr>
          <w:rFonts w:hint="eastAsia" w:ascii="宋体" w:hAnsi="宋体" w:eastAsia="宋体" w:cs="宋体"/>
          <w:sz w:val="28"/>
          <w:szCs w:val="28"/>
          <w:u w:val="single"/>
        </w:rPr>
        <w:t xml:space="preserve"> </w:t>
      </w:r>
      <w:r>
        <w:rPr>
          <w:rFonts w:hint="eastAsia" w:ascii="宋体" w:hAnsi="宋体" w:eastAsia="宋体" w:cs="宋体"/>
          <w:sz w:val="28"/>
          <w:szCs w:val="28"/>
        </w:rPr>
        <w:t>%的违约金。</w:t>
      </w:r>
    </w:p>
    <w:p w14:paraId="6A9CA3B3">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（六）乙方应对其服务及服务成果的合法性、科学性、有效性、客观性、真实性负责，否则，相关责任及纠纷由乙方承担，对甲方造成损失的，乙方应予赔偿，此外，乙方还应向甲方承担合同总金额</w:t>
      </w:r>
      <w:r>
        <w:rPr>
          <w:rFonts w:hint="eastAsia" w:ascii="宋体" w:hAnsi="宋体" w:eastAsia="宋体" w:cs="宋体"/>
          <w:sz w:val="28"/>
          <w:szCs w:val="28"/>
          <w:u w:val="single"/>
        </w:rPr>
        <w:t xml:space="preserve"> </w:t>
      </w:r>
      <w:r>
        <w:rPr>
          <w:rFonts w:ascii="宋体" w:hAnsi="宋体" w:eastAsia="宋体" w:cs="宋体"/>
          <w:sz w:val="28"/>
          <w:szCs w:val="28"/>
          <w:u w:val="single"/>
        </w:rPr>
        <w:t>10</w:t>
      </w:r>
      <w:r>
        <w:rPr>
          <w:rFonts w:hint="eastAsia" w:ascii="宋体" w:hAnsi="宋体" w:eastAsia="宋体" w:cs="宋体"/>
          <w:sz w:val="28"/>
          <w:szCs w:val="28"/>
          <w:u w:val="single"/>
        </w:rPr>
        <w:t xml:space="preserve"> </w:t>
      </w:r>
      <w:r>
        <w:rPr>
          <w:rFonts w:hint="eastAsia" w:ascii="宋体" w:hAnsi="宋体" w:eastAsia="宋体" w:cs="宋体"/>
          <w:sz w:val="28"/>
          <w:szCs w:val="28"/>
        </w:rPr>
        <w:t>%的违约金。</w:t>
      </w:r>
    </w:p>
    <w:p w14:paraId="2DF0DC2E">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七）乙方在为甲方提供服务过程中所产生的所有成果，其知识产权归甲方所有。未经甲方书面同意乙方不得给与本项目无关的第三方使用。乙方对于甲方提供的一切信息及资料负有严格的保密义务，不得以任何名义以此进行牟利活动，不得发表，也不得向任何第三方透露，否则应赔偿由此给甲方造成的损失。</w:t>
      </w:r>
    </w:p>
    <w:p w14:paraId="10E3A58F">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（八）乙方未按合同约定或甲方要求提供服务的，每出现一次应承担合同总价款【1】%的违约金，出现【</w:t>
      </w:r>
      <w:r>
        <w:rPr>
          <w:rFonts w:ascii="宋体" w:hAnsi="宋体" w:eastAsia="宋体" w:cs="宋体"/>
          <w:sz w:val="28"/>
          <w:szCs w:val="28"/>
        </w:rPr>
        <w:t>3</w:t>
      </w:r>
      <w:r>
        <w:rPr>
          <w:rFonts w:hint="eastAsia" w:ascii="宋体" w:hAnsi="宋体" w:eastAsia="宋体" w:cs="宋体"/>
          <w:sz w:val="28"/>
          <w:szCs w:val="28"/>
        </w:rPr>
        <w:t>】次的，甲方有权单方解除本合同，给甲方造成损失的，乙方还应予以赔偿。</w:t>
      </w:r>
    </w:p>
    <w:p w14:paraId="357918F1">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九）若乙方违反合同约定，除按照合同约定承担违约金外，对甲方造成损失的，乙方还应予以赔偿。若合同因乙方违约导致解除的，乙方除应承担违约责任赔偿甲方损失外，已收的款项应退还甲方。甲方因乙方违约而产生的维权费用，包括但不限于诉讼费、律师费、保全费、鉴定费、评估费、公证费、差旅费等费用，均由乙方承担。</w:t>
      </w:r>
    </w:p>
    <w:p w14:paraId="0DB30B97">
      <w:pPr>
        <w:tabs>
          <w:tab w:val="left" w:pos="980"/>
        </w:tabs>
        <w:overflowPunct w:val="0"/>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十一、合同争议的解决</w:t>
      </w:r>
    </w:p>
    <w:p w14:paraId="142E5B89">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在执行本合同中发生的或与本合同有关的争端，双方应通过友好协商解决，经协商无法解决的，应向甲方所在地有管辖权的人民法院提请诉讼。</w:t>
      </w:r>
    </w:p>
    <w:p w14:paraId="4FCB0CF4">
      <w:pPr>
        <w:tabs>
          <w:tab w:val="left" w:pos="980"/>
        </w:tabs>
        <w:overflowPunct w:val="0"/>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十二、不可抗力情况下的免责约定</w:t>
      </w:r>
    </w:p>
    <w:p w14:paraId="318A352E">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双方约定不可抗力情况指：双方不可预见、不可避免、不可克服的客观情况，但不包括双方的违约或疏忽。这些事件包括但不限于：战争、严重火灾、洪水、台风、地震等。</w:t>
      </w:r>
    </w:p>
    <w:p w14:paraId="53F96471">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（一）在合同有效期内，任何一方因不可抗力事件导致不能履行合同，则合同履行期可延长，其延长期与不可抗力影响期相同。</w:t>
      </w:r>
    </w:p>
    <w:p w14:paraId="5EAB209E">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（二）不可抗力事件发生后，应立即通知对方，并寄送有关权威机构出具的证明。</w:t>
      </w:r>
    </w:p>
    <w:p w14:paraId="480F420A">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（三）不可抗力事件延续60天以上，双方应通过友好协商，确定是否继续履行合同。</w:t>
      </w:r>
    </w:p>
    <w:p w14:paraId="5612CF16">
      <w:pPr>
        <w:tabs>
          <w:tab w:val="left" w:pos="980"/>
        </w:tabs>
        <w:overflowPunct w:val="0"/>
        <w:spacing w:line="520" w:lineRule="exact"/>
        <w:ind w:firstLine="562" w:firstLineChars="200"/>
        <w:rPr>
          <w:rFonts w:ascii="宋体" w:hAnsi="宋体" w:eastAsia="宋体" w:cs="宋体"/>
          <w:b/>
          <w:bCs/>
          <w:sz w:val="28"/>
          <w:szCs w:val="28"/>
        </w:rPr>
      </w:pPr>
      <w:r>
        <w:rPr>
          <w:rFonts w:hint="eastAsia" w:ascii="宋体" w:hAnsi="宋体" w:eastAsia="宋体" w:cs="宋体"/>
          <w:b/>
          <w:bCs/>
          <w:sz w:val="28"/>
          <w:szCs w:val="28"/>
        </w:rPr>
        <w:t>十三、合同订立</w:t>
      </w:r>
    </w:p>
    <w:p w14:paraId="11E389A4">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（一）本合同未尽事宜由双方协商解决，双方协商达成一致，可以对本合同进行修订或补充，任何对本合同的修订或者补充，应采用书面形式，签订补充协议，具有同等法律效力。</w:t>
      </w:r>
    </w:p>
    <w:p w14:paraId="76335479">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（二）本合同签订后,双方依法签订的补充协议也是本合同文件的组成部分，当上述文件如有不明确或不一致之处，以合同约定次序在先者为准。</w:t>
      </w:r>
    </w:p>
    <w:p w14:paraId="74854D7C">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（三）本合同自双方的法定代表人（负责人）或授权代表签字并加盖单位公章之日起生效。</w:t>
      </w:r>
    </w:p>
    <w:p w14:paraId="3CB6C288">
      <w:pPr>
        <w:tabs>
          <w:tab w:val="left" w:pos="980"/>
        </w:tabs>
        <w:overflowPunct w:val="0"/>
        <w:spacing w:line="520" w:lineRule="exact"/>
        <w:ind w:firstLine="560" w:firstLineChars="200"/>
        <w:rPr>
          <w:rFonts w:ascii="宋体" w:hAnsi="宋体" w:eastAsia="宋体" w:cs="宋体"/>
          <w:sz w:val="28"/>
          <w:szCs w:val="28"/>
        </w:rPr>
      </w:pPr>
      <w:r>
        <w:rPr>
          <w:rFonts w:hint="eastAsia" w:ascii="宋体" w:hAnsi="宋体" w:eastAsia="宋体" w:cs="宋体"/>
          <w:sz w:val="28"/>
          <w:szCs w:val="28"/>
        </w:rPr>
        <w:t>（四）本合同一式</w:t>
      </w:r>
      <w:r>
        <w:rPr>
          <w:rFonts w:hint="eastAsia" w:ascii="宋体" w:hAnsi="宋体" w:eastAsia="宋体" w:cs="宋体"/>
          <w:sz w:val="28"/>
          <w:szCs w:val="28"/>
          <w:u w:val="single"/>
        </w:rPr>
        <w:t xml:space="preserve"> 捌 </w:t>
      </w:r>
      <w:r>
        <w:rPr>
          <w:rFonts w:hint="eastAsia" w:ascii="宋体" w:hAnsi="宋体" w:eastAsia="宋体" w:cs="宋体"/>
          <w:sz w:val="28"/>
          <w:szCs w:val="28"/>
        </w:rPr>
        <w:t>份，其中，甲方执</w:t>
      </w:r>
      <w:r>
        <w:rPr>
          <w:rFonts w:hint="eastAsia" w:ascii="宋体" w:hAnsi="宋体" w:eastAsia="宋体" w:cs="宋体"/>
          <w:sz w:val="28"/>
          <w:szCs w:val="28"/>
          <w:u w:val="single"/>
        </w:rPr>
        <w:t xml:space="preserve"> 肆 </w:t>
      </w:r>
      <w:r>
        <w:rPr>
          <w:rFonts w:hint="eastAsia" w:ascii="宋体" w:hAnsi="宋体" w:eastAsia="宋体" w:cs="宋体"/>
          <w:sz w:val="28"/>
          <w:szCs w:val="28"/>
        </w:rPr>
        <w:t>份，乙方执</w:t>
      </w:r>
      <w:r>
        <w:rPr>
          <w:rFonts w:hint="eastAsia" w:ascii="宋体" w:hAnsi="宋体" w:eastAsia="宋体" w:cs="宋体"/>
          <w:sz w:val="28"/>
          <w:szCs w:val="28"/>
          <w:u w:val="single"/>
        </w:rPr>
        <w:t xml:space="preserve"> 肆 </w:t>
      </w:r>
      <w:r>
        <w:rPr>
          <w:rFonts w:hint="eastAsia" w:ascii="宋体" w:hAnsi="宋体" w:eastAsia="宋体" w:cs="宋体"/>
          <w:sz w:val="28"/>
          <w:szCs w:val="28"/>
        </w:rPr>
        <w:t>份，具有同等法律效力。</w:t>
      </w:r>
    </w:p>
    <w:p w14:paraId="5BA7B72C">
      <w:pPr>
        <w:spacing w:line="520" w:lineRule="exact"/>
        <w:rPr>
          <w:rFonts w:ascii="宋体" w:hAnsi="宋体" w:eastAsia="宋体" w:cs="宋体"/>
          <w:sz w:val="28"/>
          <w:szCs w:val="28"/>
        </w:rPr>
      </w:pPr>
    </w:p>
    <w:p w14:paraId="133168FB">
      <w:pPr>
        <w:tabs>
          <w:tab w:val="left" w:pos="980"/>
        </w:tabs>
        <w:kinsoku w:val="0"/>
        <w:spacing w:line="520" w:lineRule="exact"/>
        <w:ind w:firstLine="1400" w:firstLineChars="500"/>
        <w:rPr>
          <w:rFonts w:ascii="宋体" w:hAnsi="宋体" w:eastAsia="宋体" w:cs="宋体"/>
          <w:sz w:val="28"/>
          <w:szCs w:val="28"/>
        </w:rPr>
      </w:pPr>
      <w:r>
        <w:rPr>
          <w:rFonts w:hint="eastAsia" w:ascii="宋体" w:hAnsi="宋体" w:eastAsia="宋体" w:cs="宋体"/>
          <w:sz w:val="28"/>
          <w:szCs w:val="28"/>
        </w:rPr>
        <w:t>甲方：</w:t>
      </w:r>
      <w:r>
        <w:rPr>
          <w:rFonts w:hint="eastAsia" w:ascii="宋体" w:hAnsi="宋体" w:eastAsia="宋体" w:cs="宋体"/>
          <w:sz w:val="28"/>
          <w:szCs w:val="28"/>
          <w:u w:val="single"/>
        </w:rPr>
        <w:t xml:space="preserve">      陕西省公路局（盖章）       </w:t>
      </w:r>
      <w:r>
        <w:rPr>
          <w:rFonts w:hint="eastAsia" w:ascii="宋体" w:hAnsi="宋体" w:eastAsia="宋体" w:cs="宋体"/>
          <w:sz w:val="28"/>
          <w:szCs w:val="28"/>
        </w:rPr>
        <w:t xml:space="preserve">                  </w:t>
      </w:r>
    </w:p>
    <w:p w14:paraId="49279B5E">
      <w:pPr>
        <w:tabs>
          <w:tab w:val="left" w:pos="980"/>
        </w:tabs>
        <w:kinsoku w:val="0"/>
        <w:spacing w:line="520" w:lineRule="exact"/>
        <w:ind w:firstLine="1400" w:firstLineChars="500"/>
        <w:rPr>
          <w:rFonts w:ascii="宋体" w:hAnsi="宋体" w:eastAsia="宋体" w:cs="宋体"/>
          <w:sz w:val="28"/>
          <w:szCs w:val="28"/>
        </w:rPr>
      </w:pPr>
      <w:r>
        <w:rPr>
          <w:rFonts w:hint="eastAsia" w:ascii="宋体" w:hAnsi="宋体" w:eastAsia="宋体" w:cs="宋体"/>
          <w:sz w:val="28"/>
          <w:szCs w:val="28"/>
        </w:rPr>
        <w:t xml:space="preserve">地 址：陕西省西安市碑林区含光北路110号 </w:t>
      </w:r>
    </w:p>
    <w:p w14:paraId="530D5B60">
      <w:pPr>
        <w:tabs>
          <w:tab w:val="left" w:pos="980"/>
        </w:tabs>
        <w:kinsoku w:val="0"/>
        <w:spacing w:line="520" w:lineRule="exact"/>
        <w:ind w:firstLine="1400" w:firstLineChars="500"/>
        <w:rPr>
          <w:rFonts w:ascii="宋体" w:hAnsi="宋体" w:eastAsia="宋体" w:cs="宋体"/>
          <w:sz w:val="28"/>
          <w:szCs w:val="28"/>
        </w:rPr>
      </w:pPr>
      <w:r>
        <w:rPr>
          <w:rFonts w:hint="eastAsia" w:ascii="宋体" w:hAnsi="宋体" w:eastAsia="宋体" w:cs="宋体"/>
          <w:sz w:val="28"/>
          <w:szCs w:val="28"/>
        </w:rPr>
        <w:t>开户行及账号：611301033018010000003</w:t>
      </w:r>
    </w:p>
    <w:p w14:paraId="23950A49">
      <w:pPr>
        <w:tabs>
          <w:tab w:val="left" w:pos="980"/>
        </w:tabs>
        <w:kinsoku w:val="0"/>
        <w:spacing w:line="520" w:lineRule="exact"/>
        <w:ind w:firstLine="3360" w:firstLineChars="1200"/>
        <w:rPr>
          <w:rFonts w:ascii="宋体" w:hAnsi="宋体" w:eastAsia="宋体" w:cs="宋体"/>
          <w:sz w:val="28"/>
          <w:szCs w:val="28"/>
        </w:rPr>
      </w:pPr>
      <w:r>
        <w:rPr>
          <w:rFonts w:hint="eastAsia" w:ascii="宋体" w:hAnsi="宋体" w:eastAsia="宋体" w:cs="宋体"/>
          <w:sz w:val="28"/>
          <w:szCs w:val="28"/>
        </w:rPr>
        <w:t xml:space="preserve">交通银行西安城南支行                                   </w:t>
      </w:r>
    </w:p>
    <w:p w14:paraId="49D7C192">
      <w:pPr>
        <w:tabs>
          <w:tab w:val="left" w:pos="980"/>
        </w:tabs>
        <w:kinsoku w:val="0"/>
        <w:spacing w:line="520" w:lineRule="exact"/>
        <w:ind w:firstLine="1400" w:firstLineChars="500"/>
        <w:rPr>
          <w:rFonts w:ascii="宋体" w:hAnsi="宋体" w:eastAsia="宋体" w:cs="宋体"/>
          <w:sz w:val="28"/>
          <w:szCs w:val="28"/>
        </w:rPr>
      </w:pPr>
      <w:r>
        <w:rPr>
          <w:rFonts w:hint="eastAsia" w:ascii="宋体" w:hAnsi="宋体" w:eastAsia="宋体" w:cs="宋体"/>
          <w:sz w:val="28"/>
          <w:szCs w:val="28"/>
        </w:rPr>
        <w:t xml:space="preserve">法定代表人或其授权                   </w:t>
      </w:r>
    </w:p>
    <w:p w14:paraId="248335EF">
      <w:pPr>
        <w:tabs>
          <w:tab w:val="left" w:pos="980"/>
        </w:tabs>
        <w:kinsoku w:val="0"/>
        <w:spacing w:line="520" w:lineRule="exact"/>
        <w:ind w:firstLine="1400" w:firstLineChars="500"/>
        <w:rPr>
          <w:rFonts w:ascii="宋体" w:hAnsi="宋体" w:eastAsia="宋体" w:cs="宋体"/>
          <w:sz w:val="28"/>
          <w:szCs w:val="28"/>
          <w:u w:val="single"/>
        </w:rPr>
      </w:pPr>
      <w:r>
        <w:rPr>
          <w:rFonts w:hint="eastAsia" w:ascii="宋体" w:hAnsi="宋体" w:eastAsia="宋体" w:cs="宋体"/>
          <w:sz w:val="28"/>
          <w:szCs w:val="28"/>
        </w:rPr>
        <w:t xml:space="preserve">的代理人：（签字） </w:t>
      </w:r>
      <w:r>
        <w:rPr>
          <w:rFonts w:hint="eastAsia" w:ascii="宋体" w:hAnsi="宋体" w:eastAsia="宋体" w:cs="宋体"/>
          <w:sz w:val="28"/>
          <w:szCs w:val="28"/>
          <w:u w:val="single"/>
        </w:rPr>
        <w:t xml:space="preserve">                    </w:t>
      </w:r>
    </w:p>
    <w:p w14:paraId="770204A2">
      <w:pPr>
        <w:spacing w:line="520" w:lineRule="exact"/>
        <w:ind w:firstLine="420"/>
        <w:rPr>
          <w:rFonts w:ascii="宋体" w:hAnsi="宋体" w:eastAsia="宋体" w:cs="宋体"/>
          <w:sz w:val="28"/>
          <w:szCs w:val="28"/>
          <w:lang w:eastAsia="zh-Hans"/>
        </w:rPr>
      </w:pPr>
      <w:r>
        <w:rPr>
          <w:rFonts w:hint="eastAsia" w:ascii="等线" w:hAnsi="等线" w:eastAsia="等线" w:cs="Times New Roman"/>
        </w:rPr>
        <w:t xml:space="preserve">          </w:t>
      </w:r>
    </w:p>
    <w:p w14:paraId="4E21FB23">
      <w:pPr>
        <w:spacing w:line="520" w:lineRule="exact"/>
        <w:rPr>
          <w:rFonts w:hint="default" w:ascii="宋体" w:hAnsi="宋体" w:eastAsia="宋体" w:cs="宋体"/>
          <w:kern w:val="0"/>
          <w:sz w:val="28"/>
          <w:szCs w:val="28"/>
          <w:u w:val="single"/>
          <w:lang w:val="en-US" w:eastAsia="zh-Hans" w:bidi="ar-SA"/>
        </w:rPr>
      </w:pPr>
      <w:r>
        <w:rPr>
          <w:rFonts w:hint="eastAsia" w:ascii="宋体" w:hAnsi="宋体" w:eastAsia="宋体" w:cs="宋体"/>
          <w:kern w:val="0"/>
          <w:sz w:val="28"/>
          <w:szCs w:val="28"/>
          <w:lang w:val="en-US" w:eastAsia="zh-Hans" w:bidi="ar-SA"/>
        </w:rPr>
        <w:t xml:space="preserve"> </w:t>
      </w:r>
      <w:r>
        <w:rPr>
          <w:rFonts w:hint="eastAsia" w:ascii="宋体" w:hAnsi="宋体" w:eastAsia="宋体" w:cs="宋体"/>
          <w:kern w:val="0"/>
          <w:sz w:val="28"/>
          <w:szCs w:val="28"/>
          <w:lang w:val="en-US" w:eastAsia="zh-CN" w:bidi="ar-SA"/>
        </w:rPr>
        <w:t xml:space="preserve">        </w:t>
      </w:r>
      <w:r>
        <w:rPr>
          <w:rFonts w:hint="eastAsia" w:ascii="宋体" w:hAnsi="宋体" w:eastAsia="宋体" w:cs="宋体"/>
          <w:kern w:val="0"/>
          <w:sz w:val="28"/>
          <w:szCs w:val="28"/>
          <w:lang w:val="en-US" w:eastAsia="zh-Hans" w:bidi="ar-SA"/>
        </w:rPr>
        <w:t xml:space="preserve"> </w:t>
      </w:r>
      <w:r>
        <w:rPr>
          <w:rFonts w:hint="eastAsia" w:ascii="宋体" w:hAnsi="宋体" w:eastAsia="宋体" w:cs="宋体"/>
          <w:kern w:val="0"/>
          <w:sz w:val="28"/>
          <w:szCs w:val="28"/>
          <w:lang w:val="en-US" w:eastAsia="zh-CN" w:bidi="ar-SA"/>
        </w:rPr>
        <w:t>乙  方</w:t>
      </w:r>
      <w:r>
        <w:rPr>
          <w:rFonts w:hint="eastAsia" w:ascii="宋体" w:hAnsi="宋体" w:eastAsia="宋体" w:cs="宋体"/>
          <w:kern w:val="0"/>
          <w:sz w:val="28"/>
          <w:szCs w:val="28"/>
          <w:lang w:val="en-US" w:eastAsia="zh-Hans" w:bidi="ar-SA"/>
        </w:rPr>
        <w:t>：</w:t>
      </w:r>
      <w:r>
        <w:rPr>
          <w:rFonts w:hint="eastAsia" w:ascii="宋体" w:hAnsi="宋体" w:eastAsia="宋体" w:cs="宋体"/>
          <w:kern w:val="0"/>
          <w:sz w:val="28"/>
          <w:szCs w:val="28"/>
          <w:u w:val="single"/>
          <w:lang w:val="en-US" w:eastAsia="zh-CN" w:bidi="ar-SA"/>
        </w:rPr>
        <w:t xml:space="preserve">                        </w:t>
      </w:r>
      <w:r>
        <w:rPr>
          <w:rFonts w:hint="eastAsia" w:ascii="宋体" w:hAnsi="宋体" w:eastAsia="宋体" w:cs="宋体"/>
          <w:kern w:val="0"/>
          <w:sz w:val="28"/>
          <w:szCs w:val="28"/>
          <w:u w:val="single"/>
          <w:lang w:val="en-US" w:eastAsia="zh-Hans" w:bidi="ar-SA"/>
        </w:rPr>
        <w:t>（盖章）</w:t>
      </w:r>
    </w:p>
    <w:p w14:paraId="7E445F8F">
      <w:pPr>
        <w:spacing w:line="520" w:lineRule="exact"/>
        <w:rPr>
          <w:rFonts w:hint="default" w:ascii="宋体" w:hAnsi="宋体" w:eastAsia="宋体" w:cs="宋体"/>
          <w:kern w:val="0"/>
          <w:sz w:val="28"/>
          <w:szCs w:val="28"/>
          <w:u w:val="single"/>
          <w:lang w:val="en-US" w:eastAsia="zh-Hans" w:bidi="ar-SA"/>
        </w:rPr>
      </w:pPr>
      <w:r>
        <w:rPr>
          <w:rFonts w:hint="eastAsia" w:ascii="宋体" w:hAnsi="宋体" w:eastAsia="宋体" w:cs="宋体"/>
          <w:kern w:val="0"/>
          <w:sz w:val="28"/>
          <w:szCs w:val="28"/>
          <w:lang w:val="en-US" w:eastAsia="zh-Hans" w:bidi="ar-SA"/>
        </w:rPr>
        <w:t xml:space="preserve"> </w:t>
      </w:r>
      <w:r>
        <w:rPr>
          <w:rFonts w:hint="eastAsia" w:ascii="宋体" w:hAnsi="宋体" w:eastAsia="宋体" w:cs="宋体"/>
          <w:kern w:val="0"/>
          <w:sz w:val="28"/>
          <w:szCs w:val="28"/>
          <w:lang w:val="en-US" w:eastAsia="zh-CN" w:bidi="ar-SA"/>
        </w:rPr>
        <w:t xml:space="preserve">         </w:t>
      </w:r>
      <w:r>
        <w:rPr>
          <w:rFonts w:hint="eastAsia" w:ascii="宋体" w:hAnsi="宋体" w:eastAsia="宋体" w:cs="宋体"/>
          <w:kern w:val="0"/>
          <w:sz w:val="28"/>
          <w:szCs w:val="28"/>
          <w:lang w:val="en-US" w:eastAsia="zh-Hans" w:bidi="ar-SA"/>
        </w:rPr>
        <w:t>地  址：</w:t>
      </w:r>
      <w:r>
        <w:rPr>
          <w:rFonts w:hint="eastAsia" w:ascii="宋体" w:hAnsi="宋体" w:eastAsia="宋体" w:cs="宋体"/>
          <w:kern w:val="0"/>
          <w:sz w:val="28"/>
          <w:szCs w:val="28"/>
          <w:u w:val="single"/>
          <w:lang w:val="en-US" w:eastAsia="zh-CN" w:bidi="ar-SA"/>
        </w:rPr>
        <w:t xml:space="preserve">                             </w:t>
      </w:r>
      <w:r>
        <w:rPr>
          <w:rFonts w:hint="eastAsia" w:ascii="宋体" w:hAnsi="宋体" w:eastAsia="宋体" w:cs="宋体"/>
          <w:kern w:val="0"/>
          <w:sz w:val="28"/>
          <w:szCs w:val="28"/>
          <w:u w:val="single"/>
          <w:lang w:val="en-US" w:eastAsia="zh-Hans" w:bidi="ar-SA"/>
        </w:rPr>
        <w:t xml:space="preserve">  </w:t>
      </w:r>
    </w:p>
    <w:p w14:paraId="39204BB3">
      <w:pPr>
        <w:tabs>
          <w:tab w:val="left" w:pos="980"/>
        </w:tabs>
        <w:kinsoku w:val="0"/>
        <w:spacing w:line="520" w:lineRule="exact"/>
        <w:ind w:firstLine="1400" w:firstLineChars="500"/>
        <w:rPr>
          <w:rFonts w:ascii="宋体" w:hAnsi="宋体" w:eastAsia="宋体" w:cs="宋体"/>
          <w:bCs/>
          <w:sz w:val="28"/>
          <w:szCs w:val="28"/>
          <w:u w:val="single"/>
          <w:lang w:bidi="ar"/>
        </w:rPr>
      </w:pPr>
      <w:r>
        <w:rPr>
          <w:rFonts w:hint="eastAsia" w:ascii="宋体" w:hAnsi="宋体" w:eastAsia="宋体" w:cs="宋体"/>
          <w:sz w:val="28"/>
          <w:szCs w:val="28"/>
        </w:rPr>
        <w:t>开户行：</w:t>
      </w:r>
      <w:r>
        <w:rPr>
          <w:rFonts w:hint="eastAsia" w:ascii="宋体" w:hAnsi="宋体" w:eastAsia="宋体" w:cs="宋体"/>
          <w:bCs/>
          <w:sz w:val="28"/>
          <w:szCs w:val="28"/>
          <w:u w:val="single"/>
          <w:lang w:bidi="ar"/>
        </w:rPr>
        <w:t xml:space="preserve">                               </w:t>
      </w:r>
    </w:p>
    <w:p w14:paraId="004AB2A2">
      <w:pPr>
        <w:ind w:firstLine="1400" w:firstLineChars="500"/>
        <w:rPr>
          <w:rFonts w:ascii="宋体" w:hAnsi="宋体" w:eastAsia="宋体" w:cs="宋体"/>
          <w:sz w:val="28"/>
          <w:szCs w:val="28"/>
        </w:rPr>
      </w:pPr>
      <w:r>
        <w:rPr>
          <w:rFonts w:hint="eastAsia" w:ascii="宋体" w:hAnsi="宋体" w:eastAsia="宋体" w:cs="宋体"/>
          <w:bCs/>
          <w:sz w:val="28"/>
          <w:szCs w:val="28"/>
          <w:lang w:bidi="ar"/>
        </w:rPr>
        <w:t>账  号：</w:t>
      </w:r>
      <w:r>
        <w:rPr>
          <w:rFonts w:hint="eastAsia" w:ascii="宋体" w:hAnsi="宋体" w:eastAsia="宋体" w:cs="宋体"/>
          <w:bCs/>
          <w:sz w:val="28"/>
          <w:szCs w:val="28"/>
          <w:u w:val="single"/>
          <w:lang w:bidi="ar"/>
        </w:rPr>
        <w:t xml:space="preserve">                               </w:t>
      </w:r>
      <w:r>
        <w:rPr>
          <w:rFonts w:hint="eastAsia" w:ascii="宋体" w:hAnsi="宋体" w:eastAsia="宋体" w:cs="宋体"/>
          <w:sz w:val="28"/>
          <w:szCs w:val="28"/>
        </w:rPr>
        <w:t xml:space="preserve">     </w:t>
      </w:r>
    </w:p>
    <w:p w14:paraId="05BBF6A3">
      <w:pPr>
        <w:tabs>
          <w:tab w:val="left" w:pos="980"/>
        </w:tabs>
        <w:kinsoku w:val="0"/>
        <w:spacing w:line="520" w:lineRule="exact"/>
        <w:ind w:firstLine="1400" w:firstLineChars="500"/>
        <w:rPr>
          <w:rFonts w:ascii="宋体" w:hAnsi="宋体" w:eastAsia="宋体" w:cs="宋体"/>
          <w:sz w:val="28"/>
          <w:szCs w:val="28"/>
        </w:rPr>
      </w:pPr>
      <w:r>
        <w:rPr>
          <w:rFonts w:hint="eastAsia" w:ascii="宋体" w:hAnsi="宋体" w:eastAsia="宋体" w:cs="宋体"/>
          <w:sz w:val="28"/>
          <w:szCs w:val="28"/>
        </w:rPr>
        <w:t xml:space="preserve">法定代表人或其授权                   </w:t>
      </w:r>
    </w:p>
    <w:p w14:paraId="4A5AE154">
      <w:pPr>
        <w:tabs>
          <w:tab w:val="left" w:pos="980"/>
        </w:tabs>
        <w:kinsoku w:val="0"/>
        <w:spacing w:line="520" w:lineRule="exact"/>
        <w:ind w:firstLine="1400" w:firstLineChars="500"/>
        <w:rPr>
          <w:rFonts w:ascii="宋体" w:hAnsi="宋体" w:eastAsia="宋体" w:cs="宋体"/>
          <w:sz w:val="28"/>
          <w:szCs w:val="28"/>
          <w:u w:val="single"/>
        </w:rPr>
      </w:pPr>
      <w:r>
        <w:rPr>
          <w:rFonts w:hint="eastAsia" w:ascii="宋体" w:hAnsi="宋体" w:eastAsia="宋体" w:cs="宋体"/>
          <w:sz w:val="28"/>
          <w:szCs w:val="28"/>
        </w:rPr>
        <w:t xml:space="preserve">的代理人：（签字） </w:t>
      </w:r>
      <w:r>
        <w:rPr>
          <w:rFonts w:hint="eastAsia" w:ascii="宋体" w:hAnsi="宋体" w:eastAsia="宋体" w:cs="宋体"/>
          <w:sz w:val="28"/>
          <w:szCs w:val="28"/>
          <w:u w:val="single"/>
        </w:rPr>
        <w:t xml:space="preserve">                    </w:t>
      </w:r>
    </w:p>
    <w:p w14:paraId="329EB1C5">
      <w:pPr>
        <w:spacing w:line="520" w:lineRule="exact"/>
        <w:ind w:firstLine="420"/>
        <w:rPr>
          <w:rFonts w:ascii="宋体" w:hAnsi="宋体" w:eastAsia="宋体" w:cs="宋体"/>
          <w:sz w:val="28"/>
          <w:szCs w:val="28"/>
        </w:rPr>
      </w:pPr>
      <w:r>
        <w:rPr>
          <w:rFonts w:hint="eastAsia" w:ascii="等线" w:hAnsi="等线" w:eastAsia="等线" w:cs="Times New Roman"/>
        </w:rPr>
        <w:t xml:space="preserve">                                                       </w:t>
      </w:r>
      <w:r>
        <w:rPr>
          <w:rFonts w:hint="eastAsia" w:ascii="宋体" w:hAnsi="宋体" w:eastAsia="宋体" w:cs="宋体"/>
          <w:sz w:val="28"/>
          <w:szCs w:val="28"/>
          <w:lang w:eastAsia="zh-Hans"/>
        </w:rPr>
        <w:t xml:space="preserve">年   </w:t>
      </w:r>
      <w:r>
        <w:rPr>
          <w:rFonts w:hint="eastAsia" w:ascii="宋体" w:hAnsi="宋体" w:eastAsia="宋体" w:cs="宋体"/>
          <w:sz w:val="28"/>
          <w:szCs w:val="28"/>
        </w:rPr>
        <w:t xml:space="preserve"> </w:t>
      </w:r>
      <w:r>
        <w:rPr>
          <w:rFonts w:hint="eastAsia" w:ascii="宋体" w:hAnsi="宋体" w:eastAsia="宋体" w:cs="宋体"/>
          <w:sz w:val="28"/>
          <w:szCs w:val="28"/>
          <w:lang w:eastAsia="zh-Hans"/>
        </w:rPr>
        <w:t>月</w:t>
      </w:r>
      <w:r>
        <w:rPr>
          <w:rFonts w:hint="eastAsia" w:ascii="宋体" w:hAnsi="宋体" w:eastAsia="宋体" w:cs="宋体"/>
          <w:sz w:val="28"/>
          <w:szCs w:val="28"/>
        </w:rPr>
        <w:t xml:space="preserve">    </w:t>
      </w:r>
      <w:r>
        <w:rPr>
          <w:rFonts w:hint="eastAsia" w:ascii="宋体" w:hAnsi="宋体" w:eastAsia="宋体" w:cs="宋体"/>
          <w:sz w:val="28"/>
          <w:szCs w:val="28"/>
          <w:lang w:eastAsia="zh-Hans"/>
        </w:rPr>
        <w:t>日</w:t>
      </w:r>
    </w:p>
    <w:p w14:paraId="157D386C">
      <w:pPr>
        <w:rPr>
          <w:rFonts w:ascii="等线" w:hAnsi="等线" w:eastAsia="等线" w:cs="Times New Roman"/>
          <w:lang w:eastAsia="zh-Hans"/>
        </w:rPr>
      </w:pPr>
    </w:p>
    <w:p w14:paraId="0C5F24B5">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2"/>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D406C6F"/>
    <w:rsid w:val="2D406C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4">
    <w:name w:val="Default Paragraph Font"/>
    <w:semiHidden/>
    <w:uiPriority w:val="0"/>
  </w:style>
  <w:style w:type="table" w:default="1" w:styleId="3">
    <w:name w:val="Normal Table"/>
    <w:semiHidden/>
    <w:qFormat/>
    <w:uiPriority w:val="0"/>
    <w:tblPr>
      <w:tblCellMar>
        <w:top w:w="0" w:type="dxa"/>
        <w:left w:w="108" w:type="dxa"/>
        <w:bottom w:w="0" w:type="dxa"/>
        <w:right w:w="108" w:type="dxa"/>
      </w:tblCellMar>
    </w:tblPr>
  </w:style>
  <w:style w:type="paragraph" w:customStyle="1" w:styleId="2">
    <w:name w:val="样式 10 磅"/>
    <w:autoRedefine/>
    <w:qFormat/>
    <w:uiPriority w:val="0"/>
    <w:pPr>
      <w:widowControl w:val="0"/>
      <w:spacing w:line="360" w:lineRule="auto"/>
      <w:jc w:val="left"/>
    </w:pPr>
    <w:rPr>
      <w:rFonts w:ascii="Times New Roman" w:hAnsi="Times New Roman" w:eastAsia="宋体" w:cs="Times New Roman"/>
      <w:kern w:val="2"/>
      <w:sz w:val="28"/>
      <w:szCs w:val="24"/>
      <w:lang w:val="en-US" w:eastAsia="zh-CN" w:bidi="ar-SA"/>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33</Pages>
  <Words>0</Words>
  <Characters>0</Characters>
  <Lines>0</Lines>
  <Paragraphs>0</Paragraphs>
  <TotalTime>0</TotalTime>
  <ScaleCrop>false</ScaleCrop>
  <LinksUpToDate>false</LinksUpToDate>
  <CharactersWithSpaces>0</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2026-05-19T08:54:00Z</dcterms:created>
  <dc:creator>Administrator</dc:creator>
  <cp:lastModifiedBy>Administrator</cp:lastModifiedBy>
  <dcterms:modified xsi:type="dcterms:W3CDTF">2026-05-19T08:54:35Z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D2A71C78932649F0BE417096E93912D4_11</vt:lpwstr>
  </property>
  <property fmtid="{D5CDD505-2E9C-101B-9397-08002B2CF9AE}" pid="4" name="KSOTemplateDocerSaveRecord">
    <vt:lpwstr>eyJoZGlkIjoiNzY3YTc4Yzk0ZTAwMmUyZTQ0NmI5NjBjYTdjYmZmNzkiLCJ1c2VySWQiOiIxMjgyNzk5NzE0In0=</vt:lpwstr>
  </property>
</Properties>
</file>