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版本号：LHZBZC2026033S.2B120260612001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激光轮廓测量仪及激光传感器(原采购包2)(二次)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LHZBZC2026033S.2B1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激光轮廓测量仪及激光传感器(原采购包2)(二次)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LHZBZC2026033S.2B1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激光轮廓测量仪及激光传感器(原采购包2)(二次)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本次采购为激光传感器采购，具体内容详见招标文件。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采购包80万以下项目招标代理服务费：5000.00元/项；每采购包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联系人：高禧、宋妍、黄沛、李晨</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本次采购为激光传感器采购，具体内容详见招标文件</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激光传感器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标的名称：激光传感器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激光线轮廓点数</w:t>
            </w:r>
            <w:r>
              <w:rPr>
                <w:rFonts w:ascii="仿宋_GB2312" w:hAnsi="仿宋_GB2312" w:cs="仿宋_GB2312" w:eastAsia="仿宋_GB2312"/>
                <w:sz w:val="21"/>
              </w:rPr>
              <w:t>≥</w:t>
            </w:r>
            <w:r>
              <w:rPr>
                <w:rFonts w:ascii="仿宋_GB2312" w:hAnsi="仿宋_GB2312" w:cs="仿宋_GB2312" w:eastAsia="仿宋_GB2312"/>
                <w:sz w:val="21"/>
              </w:rPr>
              <w:t>1700</w:t>
            </w:r>
            <w:r>
              <w:rPr>
                <w:rFonts w:ascii="仿宋_GB2312" w:hAnsi="仿宋_GB2312" w:cs="仿宋_GB2312" w:eastAsia="仿宋_GB2312"/>
                <w:sz w:val="21"/>
              </w:rPr>
              <w:t>点</w:t>
            </w:r>
            <w:r>
              <w:rPr>
                <w:rFonts w:ascii="仿宋_GB2312" w:hAnsi="仿宋_GB2312" w:cs="仿宋_GB2312" w:eastAsia="仿宋_GB2312"/>
                <w:sz w:val="21"/>
              </w:rPr>
              <w:t>/</w:t>
            </w:r>
            <w:r>
              <w:rPr>
                <w:rFonts w:ascii="仿宋_GB2312" w:hAnsi="仿宋_GB2312" w:cs="仿宋_GB2312" w:eastAsia="仿宋_GB2312"/>
                <w:sz w:val="21"/>
              </w:rPr>
              <w:t>轮廓；</w:t>
            </w:r>
          </w:p>
          <w:p>
            <w:pPr>
              <w:pStyle w:val="null3"/>
              <w:jc w:val="both"/>
            </w:pPr>
            <w:r>
              <w:rPr>
                <w:rFonts w:ascii="仿宋_GB2312" w:hAnsi="仿宋_GB2312" w:cs="仿宋_GB2312" w:eastAsia="仿宋_GB2312"/>
                <w:sz w:val="21"/>
              </w:rPr>
              <w:t>2.X</w:t>
            </w:r>
            <w:r>
              <w:rPr>
                <w:rFonts w:ascii="仿宋_GB2312" w:hAnsi="仿宋_GB2312" w:cs="仿宋_GB2312" w:eastAsia="仿宋_GB2312"/>
                <w:sz w:val="21"/>
              </w:rPr>
              <w:t>方向分辨率</w:t>
            </w:r>
            <w:r>
              <w:rPr>
                <w:rFonts w:ascii="仿宋_GB2312" w:hAnsi="仿宋_GB2312" w:cs="仿宋_GB2312" w:eastAsia="仿宋_GB2312"/>
                <w:sz w:val="21"/>
              </w:rPr>
              <w:t>(</w:t>
            </w:r>
            <w:r>
              <w:rPr>
                <w:rFonts w:ascii="仿宋_GB2312" w:hAnsi="仿宋_GB2312" w:cs="仿宋_GB2312" w:eastAsia="仿宋_GB2312"/>
                <w:sz w:val="21"/>
              </w:rPr>
              <w:t>轮廓线数据间隔）</w:t>
            </w:r>
            <w:r>
              <w:rPr>
                <w:rFonts w:ascii="仿宋_GB2312" w:hAnsi="仿宋_GB2312" w:cs="仿宋_GB2312" w:eastAsia="仿宋_GB2312"/>
                <w:sz w:val="21"/>
              </w:rPr>
              <w:t>≤</w:t>
            </w:r>
            <w:r>
              <w:rPr>
                <w:rFonts w:ascii="仿宋_GB2312" w:hAnsi="仿宋_GB2312" w:cs="仿宋_GB2312" w:eastAsia="仿宋_GB2312"/>
                <w:sz w:val="21"/>
              </w:rPr>
              <w:t>2.5 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3.Z</w:t>
            </w:r>
            <w:r>
              <w:rPr>
                <w:rFonts w:ascii="仿宋_GB2312" w:hAnsi="仿宋_GB2312" w:cs="仿宋_GB2312" w:eastAsia="仿宋_GB2312"/>
                <w:sz w:val="21"/>
              </w:rPr>
              <w:t>方向重复性</w:t>
            </w:r>
            <w:r>
              <w:rPr>
                <w:rFonts w:ascii="仿宋_GB2312" w:hAnsi="仿宋_GB2312" w:cs="仿宋_GB2312" w:eastAsia="仿宋_GB2312"/>
                <w:sz w:val="21"/>
              </w:rPr>
              <w:t>≤</w:t>
            </w:r>
            <w:r>
              <w:rPr>
                <w:rFonts w:ascii="仿宋_GB2312" w:hAnsi="仿宋_GB2312" w:cs="仿宋_GB2312" w:eastAsia="仿宋_GB2312"/>
                <w:sz w:val="21"/>
              </w:rPr>
              <w:t>0.1 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安装净距离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color w:val="000000"/>
              </w:rPr>
              <w:t xml:space="preserve">1 </w:t>
            </w:r>
            <w:r>
              <w:rPr>
                <w:rFonts w:ascii="仿宋_GB2312" w:hAnsi="仿宋_GB2312" w:cs="仿宋_GB2312" w:eastAsia="仿宋_GB2312"/>
                <w:sz w:val="21"/>
              </w:rPr>
              <w:t>mm</w:t>
            </w:r>
            <w:r>
              <w:rPr>
                <w:rFonts w:ascii="仿宋_GB2312" w:hAnsi="仿宋_GB2312" w:cs="仿宋_GB2312" w:eastAsia="仿宋_GB2312"/>
                <w:sz w:val="21"/>
                <w:color w:val="000000"/>
              </w:rPr>
              <w:t>；</w:t>
            </w:r>
            <w:r>
              <w:rPr>
                <w:rFonts w:ascii="仿宋_GB2312" w:hAnsi="仿宋_GB2312" w:cs="仿宋_GB2312" w:eastAsia="仿宋_GB2312"/>
                <w:sz w:val="21"/>
              </w:rPr>
              <w:t>视野</w:t>
            </w:r>
            <w:r>
              <w:rPr>
                <w:rFonts w:ascii="仿宋_GB2312" w:hAnsi="仿宋_GB2312" w:cs="仿宋_GB2312" w:eastAsia="仿宋_GB2312"/>
                <w:sz w:val="21"/>
              </w:rPr>
              <w:t>≥</w:t>
            </w:r>
            <w:r>
              <w:rPr>
                <w:rFonts w:ascii="仿宋_GB2312" w:hAnsi="仿宋_GB2312" w:cs="仿宋_GB2312" w:eastAsia="仿宋_GB2312"/>
                <w:sz w:val="21"/>
                <w:color w:val="000000"/>
              </w:rPr>
              <w:t>4</w:t>
            </w:r>
            <w:r>
              <w:rPr>
                <w:rFonts w:ascii="仿宋_GB2312" w:hAnsi="仿宋_GB2312" w:cs="仿宋_GB2312" w:eastAsia="仿宋_GB2312"/>
                <w:sz w:val="21"/>
              </w:rPr>
              <w:t>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扫描速率：</w:t>
            </w:r>
            <w:r>
              <w:rPr>
                <w:rFonts w:ascii="仿宋_GB2312" w:hAnsi="仿宋_GB2312" w:cs="仿宋_GB2312" w:eastAsia="仿宋_GB2312"/>
                <w:sz w:val="21"/>
              </w:rPr>
              <w:t>覆盖</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16 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机身防护</w:t>
            </w:r>
            <w:r>
              <w:rPr>
                <w:rFonts w:ascii="仿宋_GB2312" w:hAnsi="仿宋_GB2312" w:cs="仿宋_GB2312" w:eastAsia="仿宋_GB2312"/>
                <w:sz w:val="21"/>
              </w:rPr>
              <w:t>IP67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镜面下角度兼容性</w:t>
            </w:r>
            <w:r>
              <w:rPr>
                <w:rFonts w:ascii="仿宋_GB2312" w:hAnsi="仿宋_GB2312" w:cs="仿宋_GB2312" w:eastAsia="仿宋_GB2312"/>
                <w:sz w:val="21"/>
              </w:rPr>
              <w:t>±15°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扫描软件</w:t>
            </w:r>
            <w:r>
              <w:rPr>
                <w:rFonts w:ascii="仿宋_GB2312" w:hAnsi="仿宋_GB2312" w:cs="仿宋_GB2312" w:eastAsia="仿宋_GB2312"/>
                <w:sz w:val="21"/>
              </w:rPr>
              <w:t>可</w:t>
            </w:r>
            <w:r>
              <w:rPr>
                <w:rFonts w:ascii="仿宋_GB2312" w:hAnsi="仿宋_GB2312" w:cs="仿宋_GB2312" w:eastAsia="仿宋_GB2312"/>
                <w:sz w:val="21"/>
              </w:rPr>
              <w:t>实现参数设置和三维数据实时可视化。</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智能线光谱共聚焦传感器，内置测量算法功能块轮廓和点云处理工具</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种</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压力变送</w:t>
            </w:r>
            <w:r>
              <w:rPr>
                <w:rFonts w:ascii="仿宋_GB2312" w:hAnsi="仿宋_GB2312" w:cs="仿宋_GB2312" w:eastAsia="仿宋_GB2312"/>
                <w:sz w:val="21"/>
                <w:b/>
              </w:rPr>
              <w:t>模块</w:t>
            </w:r>
            <w:r>
              <w:rPr>
                <w:rFonts w:ascii="仿宋_GB2312" w:hAnsi="仿宋_GB2312" w:cs="仿宋_GB2312" w:eastAsia="仿宋_GB2312"/>
                <w:sz w:val="21"/>
                <w:b/>
              </w:rPr>
              <w:t>1：</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0.1 %FS</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压力量程：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1000 bar;</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压力类型：</w:t>
            </w:r>
            <w:r>
              <w:rPr>
                <w:rFonts w:ascii="仿宋_GB2312" w:hAnsi="仿宋_GB2312" w:cs="仿宋_GB2312" w:eastAsia="仿宋_GB2312"/>
                <w:sz w:val="21"/>
              </w:rPr>
              <w:t>表压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采样频率：</w:t>
            </w:r>
            <w:r>
              <w:rPr>
                <w:rFonts w:ascii="仿宋_GB2312" w:hAnsi="仿宋_GB2312" w:cs="仿宋_GB2312" w:eastAsia="仿宋_GB2312"/>
                <w:sz w:val="21"/>
              </w:rPr>
              <w:t>≥</w:t>
            </w:r>
            <w:r>
              <w:rPr>
                <w:rFonts w:ascii="仿宋_GB2312" w:hAnsi="仿宋_GB2312" w:cs="仿宋_GB2312" w:eastAsia="仿宋_GB2312"/>
                <w:sz w:val="21"/>
              </w:rPr>
              <w:t>1800 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0.002 % FS;</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启动时间：</w:t>
            </w:r>
            <w:r>
              <w:rPr>
                <w:rFonts w:ascii="仿宋_GB2312" w:hAnsi="仿宋_GB2312" w:cs="仿宋_GB2312" w:eastAsia="仿宋_GB2312"/>
                <w:sz w:val="21"/>
              </w:rPr>
              <w:t>≤</w:t>
            </w:r>
            <w:r>
              <w:rPr>
                <w:rFonts w:ascii="仿宋_GB2312" w:hAnsi="仿宋_GB2312" w:cs="仿宋_GB2312" w:eastAsia="仿宋_GB2312"/>
                <w:sz w:val="21"/>
              </w:rPr>
              <w:t>250ms;</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接触介质材质：</w:t>
            </w:r>
            <w:r>
              <w:rPr>
                <w:rFonts w:ascii="仿宋_GB2312" w:hAnsi="仿宋_GB2312" w:cs="仿宋_GB2312" w:eastAsia="仿宋_GB2312"/>
                <w:sz w:val="21"/>
              </w:rPr>
              <w:t xml:space="preserve">316L/1.4435 </w:t>
            </w:r>
            <w:r>
              <w:rPr>
                <w:rFonts w:ascii="仿宋_GB2312" w:hAnsi="仿宋_GB2312" w:cs="仿宋_GB2312" w:eastAsia="仿宋_GB2312"/>
                <w:sz w:val="21"/>
              </w:rPr>
              <w:t>不锈钢</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隔离膜片</w:t>
            </w: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316</w:t>
            </w:r>
            <w:r>
              <w:rPr>
                <w:rFonts w:ascii="仿宋_GB2312" w:hAnsi="仿宋_GB2312" w:cs="仿宋_GB2312" w:eastAsia="仿宋_GB2312"/>
                <w:sz w:val="21"/>
              </w:rPr>
              <w:t>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压力变送</w:t>
            </w:r>
            <w:r>
              <w:rPr>
                <w:rFonts w:ascii="仿宋_GB2312" w:hAnsi="仿宋_GB2312" w:cs="仿宋_GB2312" w:eastAsia="仿宋_GB2312"/>
                <w:sz w:val="21"/>
                <w:b/>
              </w:rPr>
              <w:t>模块</w:t>
            </w:r>
            <w:r>
              <w:rPr>
                <w:rFonts w:ascii="仿宋_GB2312" w:hAnsi="仿宋_GB2312" w:cs="仿宋_GB2312" w:eastAsia="仿宋_GB2312"/>
                <w:sz w:val="21"/>
                <w:b/>
              </w:rPr>
              <w:t>2：</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±0.075% FS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量程比：</w:t>
            </w:r>
            <w:r>
              <w:rPr>
                <w:rFonts w:ascii="仿宋_GB2312" w:hAnsi="仿宋_GB2312" w:cs="仿宋_GB2312" w:eastAsia="仿宋_GB2312"/>
                <w:sz w:val="21"/>
              </w:rPr>
              <w:t>150:1</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100 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最大工作压力：</w:t>
            </w:r>
            <w:r>
              <w:rPr>
                <w:rFonts w:ascii="仿宋_GB2312" w:hAnsi="仿宋_GB2312" w:cs="仿宋_GB2312" w:eastAsia="仿宋_GB2312"/>
                <w:sz w:val="21"/>
              </w:rPr>
              <w:t>≥</w:t>
            </w:r>
            <w:r>
              <w:rPr>
                <w:rFonts w:ascii="仿宋_GB2312" w:hAnsi="仿宋_GB2312" w:cs="仿宋_GB2312" w:eastAsia="仿宋_GB2312"/>
                <w:sz w:val="21"/>
              </w:rPr>
              <w:t>300 psi</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压力类型：</w:t>
            </w:r>
            <w:r>
              <w:rPr>
                <w:rFonts w:ascii="仿宋_GB2312" w:hAnsi="仿宋_GB2312" w:cs="仿宋_GB2312" w:eastAsia="仿宋_GB2312"/>
                <w:sz w:val="21"/>
              </w:rPr>
              <w:t>表压</w:t>
            </w:r>
          </w:p>
          <w:p>
            <w:pPr>
              <w:pStyle w:val="null3"/>
              <w:jc w:val="both"/>
            </w:pPr>
            <w:r>
              <w:rPr>
                <w:rFonts w:ascii="仿宋_GB2312" w:hAnsi="仿宋_GB2312" w:cs="仿宋_GB2312" w:eastAsia="仿宋_GB2312"/>
                <w:sz w:val="21"/>
                <w:b/>
              </w:rPr>
              <w:t>涉氢压力</w:t>
            </w:r>
            <w:r>
              <w:rPr>
                <w:rFonts w:ascii="仿宋_GB2312" w:hAnsi="仿宋_GB2312" w:cs="仿宋_GB2312" w:eastAsia="仿宋_GB2312"/>
                <w:sz w:val="21"/>
                <w:b/>
              </w:rPr>
              <w:t>模块：</w:t>
            </w:r>
            <w:r>
              <w:rPr>
                <w:rFonts w:ascii="仿宋_GB2312" w:hAnsi="仿宋_GB2312" w:cs="仿宋_GB2312" w:eastAsia="仿宋_GB2312"/>
                <w:sz w:val="21"/>
                <w:b/>
              </w:rPr>
              <w:t>(2个)</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精度：</w:t>
            </w:r>
            <w:r>
              <w:rPr>
                <w:rFonts w:ascii="仿宋_GB2312" w:hAnsi="仿宋_GB2312" w:cs="仿宋_GB2312" w:eastAsia="仿宋_GB2312"/>
                <w:sz w:val="21"/>
              </w:rPr>
              <w:t>±0.065% FS</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量程比：</w:t>
            </w:r>
            <w:r>
              <w:rPr>
                <w:rFonts w:ascii="仿宋_GB2312" w:hAnsi="仿宋_GB2312" w:cs="仿宋_GB2312" w:eastAsia="仿宋_GB2312"/>
                <w:sz w:val="21"/>
              </w:rPr>
              <w:t>16:1</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压力≥</w:t>
            </w:r>
            <w:r>
              <w:rPr>
                <w:rFonts w:ascii="仿宋_GB2312" w:hAnsi="仿宋_GB2312" w:cs="仿宋_GB2312" w:eastAsia="仿宋_GB2312"/>
                <w:sz w:val="21"/>
              </w:rPr>
              <w:t>150 MPa</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量程：</w:t>
            </w:r>
            <w:r>
              <w:rPr>
                <w:rFonts w:ascii="仿宋_GB2312" w:hAnsi="仿宋_GB2312" w:cs="仿宋_GB2312" w:eastAsia="仿宋_GB2312"/>
                <w:sz w:val="21"/>
              </w:rPr>
              <w:t>覆盖</w:t>
            </w:r>
            <w:r>
              <w:rPr>
                <w:rFonts w:ascii="仿宋_GB2312" w:hAnsi="仿宋_GB2312" w:cs="仿宋_GB2312" w:eastAsia="仿宋_GB2312"/>
                <w:sz w:val="21"/>
              </w:rPr>
              <w:t>10</w:t>
            </w:r>
            <w:r>
              <w:rPr>
                <w:rFonts w:ascii="仿宋_GB2312" w:hAnsi="仿宋_GB2312" w:cs="仿宋_GB2312" w:eastAsia="仿宋_GB2312"/>
                <w:sz w:val="21"/>
              </w:rPr>
              <w:t>MPa ~ 150 MPa</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压力类型：</w:t>
            </w:r>
            <w:r>
              <w:rPr>
                <w:rFonts w:ascii="仿宋_GB2312" w:hAnsi="仿宋_GB2312" w:cs="仿宋_GB2312" w:eastAsia="仿宋_GB2312"/>
                <w:sz w:val="21"/>
              </w:rPr>
              <w:t>表压</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模块材质：</w:t>
            </w:r>
            <w:r>
              <w:rPr>
                <w:rFonts w:ascii="仿宋_GB2312" w:hAnsi="仿宋_GB2312" w:cs="仿宋_GB2312" w:eastAsia="仿宋_GB2312"/>
                <w:sz w:val="21"/>
              </w:rPr>
              <w:t>N06625</w:t>
            </w:r>
            <w:r>
              <w:rPr>
                <w:rFonts w:ascii="仿宋_GB2312" w:hAnsi="仿宋_GB2312" w:cs="仿宋_GB2312" w:eastAsia="仿宋_GB2312"/>
                <w:sz w:val="21"/>
              </w:rPr>
              <w:t>（高镍抗氢脆）</w:t>
            </w:r>
            <w:r>
              <w:rPr>
                <w:rFonts w:ascii="仿宋_GB2312" w:hAnsi="仿宋_GB2312" w:cs="仿宋_GB2312" w:eastAsia="仿宋_GB2312"/>
                <w:sz w:val="21"/>
              </w:rPr>
              <w:t xml:space="preserve">+ </w:t>
            </w:r>
            <w:r>
              <w:rPr>
                <w:rFonts w:ascii="仿宋_GB2312" w:hAnsi="仿宋_GB2312" w:cs="仿宋_GB2312" w:eastAsia="仿宋_GB2312"/>
                <w:sz w:val="21"/>
              </w:rPr>
              <w:t>镀金膜片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合同签订完成接采购人书面通知后45个日历日完成供货、安装、调试，达到交付使用条件。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合同签订后5个工作日内，甲方向乙方预付合同总价的40%。（以此为准）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设备安装调试完成，经甲方最终验收合格并签署《验收合格报告》后，乙方开具全额合法有效的增值税专用发票，甲方在7个工作日内向乙方支付合同总价的30%。（以此为准）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国家/行业标准、规范（如GB、ISO等）。 （2）验收流程 ①到货初检（采购人、中标人共同参与）： 检查外包装完整性、防伪标识、运输损伤情况； 核对货物型号、数量、规格是否与合同一致； 检查随机文件（合格证、说明书、保修卡等）。 ②安装调试验收 设备安装符合GB50231-2009《机械设备安装工程施工及验收通用规范》；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1.质保期：自验收合格之日起1年。质保期内每年提供1次清洁保养服务，并按采购人要求开展产品软硬件操作培训。 2.产品保修期（三包期）：自验收合格之日起1年。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调试周期：连续72小时无故障运行测试； 人员培训：提供相关操作人员培训资料。 （2）售后服务 响应时限：即时响应（包括电话响应）；电话响应无法解决时，48小时内到达现场。修复时间72小时内；如72小时内无法修复，应提供相应解决方案。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2、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670920970@qq.com（邮件命名：采购包名称），并将保函原件单独递交至代理机构；投标人应在投标文件中附保函复印件。保函必须由具有开具投标保函资格的单位开具；若供应商违约，开具保函单位承担连带责任。（2）投标保证金的提交金额、时间不满足招标文件要求的，投标无效（投标人以转账形式缴纳时备注采购包名称、采购包号，否则，因款项用途不明导致无法辨别造成不利后果）。 3、根据《国务院办公厅关于在政府采购中实施本国产品标准及相关政策的通知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履约保证金承诺函 供应商应提交的相关资格证明材料 陕西省政府采购供应商拒绝政府采购领域商业贿赂承诺书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与主体资格证明保持一致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1.按招标文件要求的数量、计量单位、报价货币进行报价。 2.投标人的投标报价高于采购预算（最高限价）的，投标文件按无效处理。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商务、合同条款</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无招标文件或法律法规明确规定响应无效的事项</w:t>
            </w:r>
          </w:p>
        </w:tc>
        <w:tc>
          <w:tcPr>
            <w:tcW w:type="dxa" w:w="3322"/>
          </w:tcPr>
          <w:p>
            <w:pPr>
              <w:pStyle w:val="null3"/>
            </w:pPr>
            <w:r>
              <w:rPr>
                <w:rFonts w:ascii="仿宋_GB2312" w:hAnsi="仿宋_GB2312" w:cs="仿宋_GB2312" w:eastAsia="仿宋_GB2312"/>
              </w:rPr>
              <w:t>无招标文件或法律法规明确规定的被视为无效响应的其他条款。</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标记为“▲”（共6项）为重要技术条款，每负偏离一项扣4分。未标项（共24项）为普通参数，每负偏离一项扣0.5分，扣完为止。 注：以上标记为“▲”项参数须有佐证材料，佐证材料例如：国家认可的第三方检测机构出具的检测报告，产品彩页，官网截图等任意一种。不提供或缺漏项或不能证明的不得分。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投标人需针对本项目提供完整的项目实施方案。内容包含：①供货组织计划②进度安排③安装调试方案④人员、物力调配安排。 二、评审标准 ①可实施性：切合本项目实际情况，方案全面、实施步骤清晰、计划合理； ②针对性：方案能够紧扣项目实际情况，内容科学合理； 三、赋分依据 ①供货组织计划：每完全满足一个评审标准得1分，满分2分；②进度安排：每完全满足一个评审标准得1分，满分2分； ③安装调试方案:每完全满足一个评审标准得1分，满分2分； ④人员、物力调配安排：每完全满足一个评审标准得1分，满分2分。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二、评审标准①可实施性：切合本项目实际情况，方案全面、实施步骤清晰、计划合理； ②针对性：方案能够紧扣项目实际情况，内容科学合理； 三、赋分依据 ①产品性能：每完全满足一个评审标准得1分，满分2分； ②使用寿命及效果:每完全满足一个评审标准得1分，满分2分； ③交货及安装时间:每完全满足一个评审标准得1分，满分2分。 内容有缺陷扣1分，缺项或未提供得0分。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根据项目实际需求提供售后服务方案。内容包含：①售后服务范围、响应时间及方式②故障处理及补救措施③定期回访及维护。 二、评审标准 ①可实施性：切合本项目实际情况，方案全面、实施步骤清晰、计划合理； ②针对性：方案能够紧扣项目实际情况，内容科学合理； 三、赋分依据 ①售后服务范围、响应时间及方式：每完全满足一个评审标准得1分，满分2分； ②故障处理及补救措施:每完全满足一个评审标准得1分，满分2分； ③定期回访及维护:每完全满足一个评审标准得1分，满分2分。内容有缺陷扣0.5分，缺项或未提供得0分。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承诺质保期在满足招标文件（1年）要求的基础上，每增加一年得0.5分，1分。无承诺不得分。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提供投标人自2023年1月1日至今承担过类似项目业绩，以合同签订时间为准并加盖投标人公章，每提供一个业绩计1分，最高计3分。备注：以加盖投标人公章的业绩复印件或扫描件为计分依据。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对于本国产品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