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02603">
      <w:pPr>
        <w:pStyle w:val="3"/>
        <w:bidi w:val="0"/>
        <w:jc w:val="center"/>
        <w:rPr>
          <w:rFonts w:hint="eastAsia"/>
        </w:rPr>
      </w:pPr>
      <w:r>
        <w:rPr>
          <w:rFonts w:hint="eastAsia"/>
        </w:rPr>
        <w:t>中国境内生产的组件成本核算基本规则</w:t>
      </w:r>
    </w:p>
    <w:p w14:paraId="65E2BCC4">
      <w:pPr>
        <w:pStyle w:val="7"/>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247B602">
      <w:pPr>
        <w:pStyle w:val="7"/>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一、产品的一级组件是指直接组成产品的组件。产品的二级组件是指直接组成产品一级组件的组件。一级组件不可分解的，视同二级组件。</w:t>
      </w:r>
    </w:p>
    <w:p w14:paraId="5C8EBF87">
      <w:pPr>
        <w:pStyle w:val="7"/>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二、二级组件在中国境内生产的，其全部成本计入中国境内生产的组件成本;二级组件不在中国境内生产的，其成本不计入中国境内生产的组件成本。</w:t>
      </w:r>
    </w:p>
    <w:p w14:paraId="5CB35D82">
      <w:pPr>
        <w:pStyle w:val="7"/>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三、产品总成本和组件成本以相关会计核算数据、采购合同、进货记录等为基础进行计算。</w:t>
      </w:r>
    </w:p>
    <w:p w14:paraId="75BA5C06">
      <w:pPr>
        <w:pStyle w:val="7"/>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四、需要对成本核算规则予以进一步明确的其他有关事项，由财政部会同有关部门另行规定。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CA7765"/>
    <w:rsid w:val="06511E5F"/>
    <w:rsid w:val="0DD31855"/>
    <w:rsid w:val="0FCD29BF"/>
    <w:rsid w:val="116A65C1"/>
    <w:rsid w:val="151224E2"/>
    <w:rsid w:val="1FCA7765"/>
    <w:rsid w:val="25AE77EF"/>
    <w:rsid w:val="2CD02D92"/>
    <w:rsid w:val="31176FE8"/>
    <w:rsid w:val="31420195"/>
    <w:rsid w:val="3704484F"/>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2026-06-24T11:55:00Z</dcterms:created>
  <dc:creator>子夜</dc:creator>
  <cp:lastModifiedBy>子夜</cp:lastModifiedBy>
  <dcterms:modified xsi:type="dcterms:W3CDTF">2026-06-24T11:56:13Z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1B319BBBFE3F4CE982DA1CC036FF943F_11</vt:lpwstr>
  </property>
  <property fmtid="{D5CDD505-2E9C-101B-9397-08002B2CF9AE}" pid="4" name="KSOTemplateDocerSaveRecord">
    <vt:lpwstr>eyJoZGlkIjoiZjgyZjZhZDkxNGQxNzg4ZDhlYjkzZTc1NDAzOTBjYWEiLCJ1c2VySWQiOiIyNjAwNjc5MjkifQ==</vt:lpwstr>
  </property>
</Properties>
</file>