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版本号：HRC-ZBDL-2026-0069620260601001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大荔县2025年度林草湿荒漠化调查项目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HRC-ZBDL-2026-00696</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大荔县2025年度林草湿荒漠化调查项目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HRC-ZBDL-2026-00696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大荔县2025年度林草湿荒漠化调查项目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完成县域内18868个图斑监测及国土绿化空间与管理类型标注核实修正工作。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采购包1（大荔县2025年度林草湿荒漠化调查项目）：属于专门面向中小企业采购。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 （2）投标人须具备行政主管部门颁发的测绘乙级及以上资质（包含地理信息系统工程）；拟派项目负责人须具有测绘相关专业中级及以上职称； （3）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 （4）单专门面向中小企业采购：本项目专门面向中小企业采购，供应商应为中小型企业或微型企业或监狱企业或残疾人福利性单位。供应商提供《中小企业声明函》，监狱企业或残疾人福利性单位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0913-3220054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大荔县雅轩汤泉酒店北20米（华睿诚项目管理有限公司大荔项目部）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采购包1：537,100.00元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代理服务费收费标准：1、参考《国家计委关于印发&lt;招标代理服务收费管理暂⾏办法&gt;的通知 》（计价格【2002】1980号）及《国家发改委关于降低部分建设项⽬收费标准规范收费⾏为 等有关问题的通知》（发改价格[2011]534号）规定按标准收取 2、⽀付⽅式：中标⼈应在领 取通知书的同时，⽀付本项⽬代理服务费。 收款单位：华睿诚项⽬管理有限公司 开⼾⾏：西安 银⾏⼩寨东路⽀⾏ 账号：816011580000101224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1、由采购人成立验收小组，负责验收事宜。验收小组由熟悉项目需求人员（2人）、财务人员（1人）等组成，人数为3人单数。职责分工：采购人代表负责组织协调；中标单位配合验收。 2、验收依据 政府采购服务项目的采购文件、中标（成交）供应商的响应文件、双方签订的政府采购合同 国家、行业相关的服务标准、规范 3、验收流程 供应商在服务完成后，向采购人提交验收申请及服务交付相关资料 采购人收到申请后 5 个工作日内组织验收小组开展验收 验收小组按照验收标准核查服务完成情况，形成验收记录 验收合格的，出具《政府采购服务项目验收报告》；验收不合格的，出具整改通知书，明确整改要求与时限，整改后重新验收 4、验收标准 服务内容：是否完全覆盖采购文件及合同约定的全部服务事项 服务质量：是否符合约定的服务标准、技术要求，是否达到预期效果 服务交付资料：是否齐全、规范，符合档案管理要求 5、争议处理 验收过程中出现争议的，验收小组可组织会商，或委托第三方机构进行复核，相关费用由责任方承担 对验收结果存在异议的，可按照政府采购相关法规及合同约定的途径申诉 6、验收公示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w:t>
      </w:r>
    </w:p>
    <w:p>
      <w:pPr>
        <w:pStyle w:val="null3"/>
      </w:pPr>
      <w:r>
        <w:rPr>
          <w:rFonts w:ascii="仿宋_GB2312" w:hAnsi="仿宋_GB2312" w:cs="仿宋_GB2312" w:eastAsia="仿宋_GB2312"/>
        </w:rPr>
        <w:t>地址：大荔县雅轩汤泉酒店北20米（华睿诚项目管理有限公司大荔项目部）</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完成县域内18868个图斑监测及国土绿化空间与管理类型标注核实修正工作。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537,100.00</w:t>
      </w:r>
    </w:p>
    <w:p>
      <w:pPr>
        <w:pStyle w:val="null3"/>
      </w:pPr>
      <w:r>
        <w:rPr>
          <w:rFonts w:ascii="仿宋_GB2312" w:hAnsi="仿宋_GB2312" w:cs="仿宋_GB2312" w:eastAsia="仿宋_GB2312"/>
        </w:rPr>
        <w:t>采购包最高限价（元）: 537,100.00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完成县域内18868个图斑监测及国土绿化空间与管理类型标注核实修正工作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537,100.00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标的名称：完成县域内18868个图斑监测及国土绿化空间与管理类型标注核实修正工作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1"/>
              <w:gridCol w:w="618"/>
              <w:gridCol w:w="896"/>
              <w:gridCol w:w="368"/>
              <w:gridCol w:w="339"/>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151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服务</w:t>
                  </w:r>
                  <w:r>
                    <w:rPr>
                      <w:rFonts w:ascii="仿宋_GB2312" w:hAnsi="仿宋_GB2312" w:cs="仿宋_GB2312" w:eastAsia="仿宋_GB2312"/>
                      <w:sz w:val="28"/>
                      <w:b/>
                    </w:rPr>
                    <w:t>内容</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p>
                  <w:pPr>
                    <w:pStyle w:val="null3"/>
                    <w:jc w:val="center"/>
                  </w:p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准备阶段</w:t>
                  </w: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制作技术方案、基础资料收集分析</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工作底图制作</w:t>
                  </w: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工作底图制作</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p>
                  <w:pPr>
                    <w:pStyle w:val="null3"/>
                    <w:jc w:val="center"/>
                  </w:pPr>
                </w:p>
              </w:tc>
              <w:tc>
                <w:tcPr>
                  <w:tcW w:type="dxa" w:w="6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图斑监测</w:t>
                  </w:r>
                </w:p>
                <w:p>
                  <w:pPr>
                    <w:pStyle w:val="null3"/>
                    <w:jc w:val="center"/>
                  </w:pP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监测内容</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图斑</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18868</w:t>
                  </w:r>
                </w:p>
              </w:tc>
            </w:tr>
            <w:tr>
              <w:tc>
                <w:tcPr>
                  <w:tcW w:type="dxa" w:w="331"/>
                  <w:vMerge/>
                  <w:tcBorders>
                    <w:top w:val="none" w:color="000000" w:sz="4"/>
                    <w:left w:val="single" w:color="000000" w:sz="4"/>
                    <w:bottom w:val="single" w:color="000000" w:sz="4"/>
                    <w:right w:val="single" w:color="000000" w:sz="4"/>
                  </w:tcBorders>
                </w:tcPr>
                <w:p/>
              </w:tc>
              <w:tc>
                <w:tcPr>
                  <w:tcW w:type="dxa" w:w="618"/>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图斑提前及赋值</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图斑</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18868</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样地调查</w:t>
                  </w: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样地设计与调查</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疑似违规地块核实</w:t>
                  </w: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内业分析与外业核实</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核实修正</w:t>
                  </w: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“国土绿化空间与管理类型标注”核实修正</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p>
                  <w:pPr>
                    <w:pStyle w:val="null3"/>
                    <w:jc w:val="center"/>
                  </w:pPr>
                </w:p>
              </w:tc>
              <w:tc>
                <w:tcPr>
                  <w:tcW w:type="dxa" w:w="6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汇总建库</w:t>
                  </w:r>
                </w:p>
                <w:p>
                  <w:pPr>
                    <w:pStyle w:val="null3"/>
                    <w:jc w:val="center"/>
                  </w:pP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数据库建设</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31"/>
                  <w:vMerge/>
                  <w:tcBorders>
                    <w:top w:val="none" w:color="000000" w:sz="4"/>
                    <w:left w:val="single" w:color="000000" w:sz="4"/>
                    <w:bottom w:val="single" w:color="000000" w:sz="4"/>
                    <w:right w:val="single" w:color="000000" w:sz="4"/>
                  </w:tcBorders>
                </w:tcPr>
                <w:p/>
              </w:tc>
              <w:tc>
                <w:tcPr>
                  <w:tcW w:type="dxa" w:w="618"/>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成果数据库核心指标检查</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p>
                  <w:pPr>
                    <w:pStyle w:val="null3"/>
                    <w:jc w:val="center"/>
                  </w:pPr>
                </w:p>
              </w:tc>
              <w:tc>
                <w:tcPr>
                  <w:tcW w:type="dxa" w:w="6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成果编制</w:t>
                  </w: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汇总分析</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31"/>
                  <w:vMerge/>
                  <w:tcBorders>
                    <w:top w:val="none" w:color="000000" w:sz="4"/>
                    <w:left w:val="single" w:color="000000" w:sz="4"/>
                    <w:bottom w:val="single" w:color="000000" w:sz="4"/>
                    <w:right w:val="single" w:color="000000" w:sz="4"/>
                  </w:tcBorders>
                </w:tcPr>
                <w:p/>
              </w:tc>
              <w:tc>
                <w:tcPr>
                  <w:tcW w:type="dxa" w:w="618"/>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成果编制</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根据项⽬需求配置相应⼈员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大荔县县域内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验收方案： 1、由采购人成立验收小组，负责验收事宜。验收小组由熟悉项目需求人员（2人）、财务人员（1人）等组成，人数为3人单数。职责分工：采购人代表负责组织协调；中标单位配合验收。 2、验收依据 政府采购服务项目的采购文件、中标（成交）供应商的响应文件、双方签订的政府采购合同 国家、行业相关的服务标准、规范 3、验收流程 供应商在服务完成后，向采购人提交验收申请及服务交付相关资料 采购人收到申请后 5 个工作日内组织验收小组开展验收 验收小组按照验收标准核查服务完成情况，形成验收记录 验收合格的，出具《政府采购服务项目验收报告》；验收不合格的，出具整改通知书，明确整改要求与时限，整改后重新验收 4、验收标准 服务内容：是否完全覆盖采购文件及合同约定的全部服务事项 服务质量：是否符合约定的服务标准、技术要求，是否达到预期效果 服务交付资料：是否齐全、规范，符合档案管理要求 5、争议处理 验收过程中出现争议的，验收小组可组织会商，或委托第三方机构进行复核，相关费用由责任方承担 对验收结果存在异议的，可按照政府采购相关法规及合同约定的途径申诉 6、验收公示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进度款，所有服务内容完成，验收合格，达到付款条件起10个工作日内，支付合同总金额的100.0%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提供2024或2025年度经审计的财务报告（包含审计报告和审计报告中所涉及的财务报表和报表附注）或提供响应文件提交截止日六个月内银行出具的资信证明（附基本账户证明）；3)有依法缴纳税收和社会保障资金的良好记录：税收缴纳证明：提供投标文件提交截止时间前近半年内任意一月已缴纳的纳税证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4)具有履行合同所必需的设备和专业技术能力（提供承诺函）；5)参加政府采购活动前三年内，在经营活动中没有重大违法记录（提供书面声明）；6)法律、行政法规规定的其他条件（提供承诺函）；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六个月内银行出具的资信证明（附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 （2）投标人须具备行政主管部门颁发的测绘乙级及以上资质（包含地理信息系统工程）；拟派项目负责人须具有测绘相关专业中级及以上职称； （3）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 （4）单专门面向中小企业采购：本项目专门面向中小企业采购，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报价明细表.pdf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响应⽂件的完整性</w:t>
            </w:r>
          </w:p>
        </w:tc>
        <w:tc>
          <w:tcPr>
            <w:tcW w:type="dxa" w:w="3322"/>
          </w:tcPr>
          <w:p>
            <w:pPr>
              <w:pStyle w:val="null3"/>
            </w:pPr>
            <w:r>
              <w:rPr>
                <w:rFonts w:ascii="仿宋_GB2312" w:hAnsi="仿宋_GB2312" w:cs="仿宋_GB2312" w:eastAsia="仿宋_GB2312"/>
              </w:rPr>
              <w:t>响应⽂件没有重⼤缺项</w:t>
            </w:r>
          </w:p>
        </w:tc>
        <w:tc>
          <w:tcPr>
            <w:tcW w:type="dxa" w:w="1661"/>
          </w:tcPr>
          <w:p>
            <w:pPr>
              <w:pStyle w:val="null3"/>
            </w:pPr>
            <w:r>
              <w:rPr>
                <w:rFonts w:ascii="仿宋_GB2312" w:hAnsi="仿宋_GB2312" w:cs="仿宋_GB2312" w:eastAsia="仿宋_GB2312"/>
              </w:rPr>
              <w:t>中小企业声明函 商务应答表 报价明细表.pdf 服务内容及服务要求应答表 报价表 业绩的有关证明材料.docx 响应文件封面 供应商应提交的相关资格证明材料.docx 磋商方案说明.docx 残疾人福利性单位声明函 标的清单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响应⽂件的有效性</w:t>
            </w:r>
          </w:p>
        </w:tc>
        <w:tc>
          <w:tcPr>
            <w:tcW w:type="dxa" w:w="3322"/>
          </w:tcPr>
          <w:p>
            <w:pPr>
              <w:pStyle w:val="null3"/>
            </w:pPr>
            <w:r>
              <w:rPr>
                <w:rFonts w:ascii="仿宋_GB2312" w:hAnsi="仿宋_GB2312" w:cs="仿宋_GB2312" w:eastAsia="仿宋_GB2312"/>
              </w:rPr>
              <w:t>响应⽂件的有效性 响应⽂件的签署、加盖印章 合格、有效；投标 有效期与授权期限满⾜磋商 ⽂件规定</w:t>
            </w:r>
          </w:p>
        </w:tc>
        <w:tc>
          <w:tcPr>
            <w:tcW w:type="dxa" w:w="1661"/>
          </w:tcPr>
          <w:p>
            <w:pPr>
              <w:pStyle w:val="null3"/>
            </w:pPr>
            <w:r>
              <w:rPr>
                <w:rFonts w:ascii="仿宋_GB2312" w:hAnsi="仿宋_GB2312" w:cs="仿宋_GB2312" w:eastAsia="仿宋_GB2312"/>
              </w:rPr>
              <w:t>中小企业声明函 商务应答表 报价明细表.pdf 服务内容及服务要求应答表 报价表 业绩的有关证明材料.docx 响应文件封面 供应商应提交的相关资格证明材料.docx 磋商方案说明.docx 残疾人福利性单位声明函 标的清单 人员配备一览表.docx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响应⽂件的响应性</w:t>
            </w:r>
          </w:p>
        </w:tc>
        <w:tc>
          <w:tcPr>
            <w:tcW w:type="dxa" w:w="3322"/>
          </w:tcPr>
          <w:p>
            <w:pPr>
              <w:pStyle w:val="null3"/>
            </w:pPr>
            <w:r>
              <w:rPr>
                <w:rFonts w:ascii="仿宋_GB2312" w:hAnsi="仿宋_GB2312" w:cs="仿宋_GB2312" w:eastAsia="仿宋_GB2312"/>
              </w:rPr>
              <w:t>服务内容及其他商务要求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报价明细表.pdf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背景分析；（2）项目需求理解；（3）服务目标及内容；（4）项目整体方案；（5）人员职责划分。（二）评审标准：（1）每项评审内容完整无缺陷得5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一）评审内容：（1）各阶段进度计划；（2）进度控制保证措施。（二）评审标准：（1）每项评审内容不存在缺陷得5分；未提供得0分；（2）每项评审内容每存在一处缺陷扣1分，扣完为止。（缺陷是指：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1）服务质量保障措施；（2）服务质量标准；（3）人员按时到岗保证措施。（二）评审标准：每项评审内容不存在缺陷得4分；未提供得0分；每项评审内容每存在一处缺陷扣0.5分，扣完为止。（缺陷是指：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1）服务重点及难点分析；（2）解决方案。（二）评审标准：每项评审内容不存在缺陷得2.5分；未提供得0分；每项评审内容每存在一处缺陷扣0.5分，扣完为止。（缺陷是指：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（一）评审内容：（1）售后服务内容；（2）售后服务保证措施；（3）售后技术人员安排、服务规范；（4）售后服务承诺；（二）评审标准：每提供一项得 2.5 分；未提供得0分。每项评审内容每存在一处缺陷扣0.5分，扣完为止；（缺陷是指：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针对本项目，提供详细具体可行的服务承诺，每提出一项得1分，最高得3分。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针对本项目向采购人提出合理化建议。提供一条得 1 分，满分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1、项目组成员：①配备6人及以上得6分；②配备3-5人得4分； ③配备1-2人得2分。本项最高得6分，未提供不得分。 2、项目组成员（项目负责人除外）每提供一个有效中级以上职称人员得1分，高级职称得2分，本项最高得6分，需提供身份证、职称证书等相关证明材料复印，件未提供不得分。 （项目组成人员：具有明确的项目分工安排并提供该人员的社保缴纳证明）</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公司自2023年1月至今类似业绩，每提供1份得2分，最高得10分。业绩证明（以供应商提供的合同或中标通知书为准）弄虚作假者，取消其中标资格。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的计算方法为：价格分应当采用低价优先法计算，即满足竞争性磋商响应文件要求且最后报价最低的供应商价格为评标基准价，其价格分为满分。投标人的价格分统一按照下列公式计算：报价得分=（磋商基准价/最后磋商报价）×报价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详见附件：业绩的有关证明材料.docx</w:t>
      </w:r>
    </w:p>
    <w:p>
      <w:pPr>
        <w:pStyle w:val="null3"/>
        <w:ind w:firstLine="960"/>
      </w:pPr>
      <w:r>
        <w:rPr>
          <w:rFonts w:ascii="仿宋_GB2312" w:hAnsi="仿宋_GB2312" w:cs="仿宋_GB2312" w:eastAsia="仿宋_GB2312"/>
        </w:rPr>
        <w:t>详见附件：报价明细表.pdf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