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版本号：CW2026-ZCCS-0420260512001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档案寄存项目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CW2026-ZCCS-04</w:t>
      </w:r>
      <w:r>
        <w:br/>
      </w:r>
      <w:r>
        <w:br/>
      </w:r>
      <w:r>
        <w:br/>
      </w:r>
    </w:p>
    <w:p>
      <w:pPr>
        <w:pStyle w:val="null3"/>
        <w:jc w:val="center"/>
        <w:outlineLvl w:val="2"/>
      </w:pPr>
      <w:r>
        <w:rPr>
          <w:rFonts w:ascii="仿宋_GB2312" w:hAnsi="仿宋_GB2312" w:cs="仿宋_GB2312" w:eastAsia="仿宋_GB2312"/>
          <w:sz w:val="28"/>
          <w:b/>
        </w:rPr>
        <w:t>西安市新城区人民法院[153]</w:t>
      </w:r>
    </w:p>
    <w:p>
      <w:pPr>
        <w:pStyle w:val="null3"/>
        <w:jc w:val="center"/>
        <w:outlineLvl w:val="2"/>
      </w:pPr>
      <w:r>
        <w:rPr>
          <w:rFonts w:ascii="仿宋_GB2312" w:hAnsi="仿宋_GB2312" w:cs="仿宋_GB2312" w:eastAsia="仿宋_GB2312"/>
          <w:sz w:val="28"/>
          <w:b/>
        </w:rPr>
        <w:t>陕西池文项目管理有限公司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陕西池文项目管理有限公司</w:t>
      </w:r>
      <w:r>
        <w:rPr>
          <w:rFonts w:ascii="仿宋_GB2312" w:hAnsi="仿宋_GB2312" w:cs="仿宋_GB2312" w:eastAsia="仿宋_GB2312"/>
        </w:rPr>
        <w:t>（以下简称“代理机构”）受</w:t>
      </w:r>
      <w:r>
        <w:rPr>
          <w:rFonts w:ascii="仿宋_GB2312" w:hAnsi="仿宋_GB2312" w:cs="仿宋_GB2312" w:eastAsia="仿宋_GB2312"/>
        </w:rPr>
        <w:t>西安市新城区人民法院[153]</w:t>
      </w:r>
      <w:r>
        <w:rPr>
          <w:rFonts w:ascii="仿宋_GB2312" w:hAnsi="仿宋_GB2312" w:cs="仿宋_GB2312" w:eastAsia="仿宋_GB2312"/>
        </w:rPr>
        <w:t>委托，拟对</w:t>
      </w:r>
      <w:r>
        <w:rPr>
          <w:rFonts w:ascii="仿宋_GB2312" w:hAnsi="仿宋_GB2312" w:cs="仿宋_GB2312" w:eastAsia="仿宋_GB2312"/>
        </w:rPr>
        <w:t>档案寄存项目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CW2026-ZCCS-04</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档案寄存项目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档案寄存项目，具体详见采购文件。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采购包1（档案寄存项目）：属于专门面向中小企业采购。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提供合法有效的统一社会信用代码营业执照（事业单位法人证书/专业服务机构执业许可证/民办非企业单位登记证书，自然人提供身份证）；</w:t>
      </w:r>
    </w:p>
    <w:p>
      <w:pPr>
        <w:pStyle w:val="null3"/>
      </w:pPr>
      <w:r>
        <w:rPr>
          <w:rFonts w:ascii="仿宋_GB2312" w:hAnsi="仿宋_GB2312" w:cs="仿宋_GB2312" w:eastAsia="仿宋_GB2312"/>
        </w:rPr>
        <w:t>2、财务状况报告：提供完整的2025年度经审计的财务报告，审计报告应当经过注册会计师行业统一监管平台备案赋码（成立时间至提交响应文件截止时间不足一年的可提供成立后任意时段的资产负债表），或其递交响应文件截止之日前三个月内基本开户银行出具的资信证明，或信用担保机构出具的投标担保函（以上三种形式的资料提供任何一种即可）；</w:t>
      </w:r>
    </w:p>
    <w:p>
      <w:pPr>
        <w:pStyle w:val="null3"/>
      </w:pPr>
      <w:r>
        <w:rPr>
          <w:rFonts w:ascii="仿宋_GB2312" w:hAnsi="仿宋_GB2312" w:cs="仿宋_GB2312" w:eastAsia="仿宋_GB2312"/>
        </w:rPr>
        <w:t>3、税收缴纳证明：提供递交响应文件截止之日前六个月内任意一个月的依法缴纳税收的相关凭据，凭据应有税务机关或代收机关的公章或业务专用章。依法免税或无须缴纳税收的供应商，应提供相应证明文件；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存证明：提供递交响应文件截止之日前六个月内任意一个月的社会保障资金缴存单据或社保机构开具的社会保险参保缴费情况证明。依法不需要缴纳社会保障资金的供应商应提供相关证明文件；</w:t>
      </w:r>
    </w:p>
    <w:p>
      <w:pPr>
        <w:pStyle w:val="null3"/>
      </w:pPr>
      <w:r>
        <w:rPr>
          <w:rFonts w:ascii="仿宋_GB2312" w:hAnsi="仿宋_GB2312" w:cs="仿宋_GB2312" w:eastAsia="仿宋_GB2312"/>
        </w:rPr>
        <w:t>5、书面声明：提供具有履行本合同所必需的专业技术能力的书面声明；</w:t>
      </w:r>
    </w:p>
    <w:p>
      <w:pPr>
        <w:pStyle w:val="null3"/>
      </w:pPr>
      <w:r>
        <w:rPr>
          <w:rFonts w:ascii="仿宋_GB2312" w:hAnsi="仿宋_GB2312" w:cs="仿宋_GB2312" w:eastAsia="仿宋_GB2312"/>
        </w:rPr>
        <w:t>6、承诺函：参加本次政府采购活动前3年内在经营活动中没有重大违纪，以及未被列入失信被执行人、重大税收违法失信主体、政府采购严重违法失信行为记录名单的书面声明；</w:t>
      </w:r>
    </w:p>
    <w:p>
      <w:pPr>
        <w:pStyle w:val="null3"/>
      </w:pPr>
      <w:r>
        <w:rPr>
          <w:rFonts w:ascii="仿宋_GB2312" w:hAnsi="仿宋_GB2312" w:cs="仿宋_GB2312" w:eastAsia="仿宋_GB2312"/>
        </w:rPr>
        <w:t>7、法定代表人授权书：法定代表人直接参加磋商的，须出具法定代表人身份证明书及身份证；授权代表参加磋商的，须出具法定代表人授权书；</w:t>
      </w:r>
    </w:p>
    <w:p>
      <w:pPr>
        <w:pStyle w:val="null3"/>
      </w:pPr>
      <w:r>
        <w:rPr>
          <w:rFonts w:ascii="仿宋_GB2312" w:hAnsi="仿宋_GB2312" w:cs="仿宋_GB2312" w:eastAsia="仿宋_GB2312"/>
        </w:rPr>
        <w:t>8、信用中国：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9、关联声明：供应商关联关系声明，包括：①控股管理关系（不得与参加本项目的其他供应商单位负责人为同一人或者存在直接控股、管理关系），②未为本项目提供整体设计、规范编制或者项目管理、监理、检测等服务；</w:t>
      </w:r>
    </w:p>
    <w:p>
      <w:pPr>
        <w:pStyle w:val="null3"/>
      </w:pPr>
      <w:r>
        <w:rPr>
          <w:rFonts w:ascii="仿宋_GB2312" w:hAnsi="仿宋_GB2312" w:cs="仿宋_GB2312" w:eastAsia="仿宋_GB2312"/>
        </w:rPr>
        <w:t>10、中小企业声明函：本项目专门面向中小企业采购，供应商须提供中小企业声明函；</w:t>
      </w:r>
    </w:p>
    <w:p>
      <w:pPr>
        <w:pStyle w:val="null3"/>
      </w:pPr>
      <w:r>
        <w:rPr>
          <w:rFonts w:ascii="仿宋_GB2312" w:hAnsi="仿宋_GB2312" w:cs="仿宋_GB2312" w:eastAsia="仿宋_GB2312"/>
        </w:rPr>
        <w:t>11、非联合体声明：本项目不接受联合体磋商，提供非联合体磋商声明；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西安市新城区人民法院[153]</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西安市含元路229号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029-82556755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陕西池文项目管理有限公司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西安市经济技术开发区凤城3路3号巍然大厦1号楼B座6楼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邱程、醋转转</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13709225739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采购包1：605,000.00元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代理服务费收费标准：本项目招标代理服务费实行市场调节价，采用差额定率累进法计费，以成交金额为计费基数，由成交人在领取成交通知书前一次性支付。 具体费率如下： 100万元以下，按照1.5%计取；开户名称：陕西池文项目管理有限公司 开户银行：宁夏银行西安经济技术开发区支行 银行账号：1200001113163</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西安市新城区人民法院[153]</w:t>
      </w:r>
      <w:r>
        <w:rPr>
          <w:rFonts w:ascii="仿宋_GB2312" w:hAnsi="仿宋_GB2312" w:cs="仿宋_GB2312" w:eastAsia="仿宋_GB2312"/>
        </w:rPr>
        <w:t>和</w:t>
      </w:r>
      <w:r>
        <w:rPr>
          <w:rFonts w:ascii="仿宋_GB2312" w:hAnsi="仿宋_GB2312" w:cs="仿宋_GB2312" w:eastAsia="仿宋_GB2312"/>
        </w:rPr>
        <w:t>陕西池文项目管理有限公司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西安市新城区人民法院[153]</w:t>
      </w:r>
      <w:r>
        <w:rPr>
          <w:rFonts w:ascii="仿宋_GB2312" w:hAnsi="仿宋_GB2312" w:cs="仿宋_GB2312" w:eastAsia="仿宋_GB2312"/>
        </w:rPr>
        <w:t>负责解释。除上述磋商文件内容，其他内容由</w:t>
      </w:r>
      <w:r>
        <w:rPr>
          <w:rFonts w:ascii="仿宋_GB2312" w:hAnsi="仿宋_GB2312" w:cs="仿宋_GB2312" w:eastAsia="仿宋_GB2312"/>
        </w:rPr>
        <w:t>陕西池文项目管理有限公司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西安市新城区人民法院[153]</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陕西池文项目管理有限公司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以采购文件、响应文件及签订合同要求为准。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陕西池文项目管理有限公司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陕西池文项目管理有限公司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陕西池文项目管理有限公司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联系人：邱程、醋转转</w:t>
      </w:r>
    </w:p>
    <w:p>
      <w:pPr>
        <w:pStyle w:val="null3"/>
      </w:pPr>
      <w:r>
        <w:rPr>
          <w:rFonts w:ascii="仿宋_GB2312" w:hAnsi="仿宋_GB2312" w:cs="仿宋_GB2312" w:eastAsia="仿宋_GB2312"/>
        </w:rPr>
        <w:t>联系电话：13709225739</w:t>
      </w:r>
    </w:p>
    <w:p>
      <w:pPr>
        <w:pStyle w:val="null3"/>
      </w:pPr>
      <w:r>
        <w:rPr>
          <w:rFonts w:ascii="仿宋_GB2312" w:hAnsi="仿宋_GB2312" w:cs="仿宋_GB2312" w:eastAsia="仿宋_GB2312"/>
        </w:rPr>
        <w:t>地址：陕西省西安市经济技术开发区凤城3路3号巍然大厦B座6楼</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档案寄存项目，具体详见采购文件。</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605,000.00</w:t>
      </w:r>
    </w:p>
    <w:p>
      <w:pPr>
        <w:pStyle w:val="null3"/>
      </w:pPr>
      <w:r>
        <w:rPr>
          <w:rFonts w:ascii="仿宋_GB2312" w:hAnsi="仿宋_GB2312" w:cs="仿宋_GB2312" w:eastAsia="仿宋_GB2312"/>
        </w:rPr>
        <w:t>采购包最高限价（元）: 605,000.00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605000</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605,000.00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标的名称：605000</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rPr>
              <w:t>一、项目概况</w:t>
            </w:r>
          </w:p>
          <w:p>
            <w:pPr>
              <w:pStyle w:val="null3"/>
            </w:pPr>
            <w:r>
              <w:rPr>
                <w:rFonts w:ascii="仿宋_GB2312" w:hAnsi="仿宋_GB2312" w:cs="仿宋_GB2312" w:eastAsia="仿宋_GB2312"/>
              </w:rPr>
              <w:t>诉讼档案存储托管服务，简要技术要求、用途：档案存储托管。</w:t>
            </w:r>
          </w:p>
          <w:p>
            <w:pPr>
              <w:pStyle w:val="null3"/>
            </w:pPr>
            <w:r>
              <w:rPr>
                <w:rFonts w:ascii="仿宋_GB2312" w:hAnsi="仿宋_GB2312" w:cs="仿宋_GB2312" w:eastAsia="仿宋_GB2312"/>
              </w:rPr>
              <w:t>二、服务需求内容</w:t>
            </w:r>
          </w:p>
          <w:p>
            <w:pPr>
              <w:pStyle w:val="null3"/>
            </w:pPr>
            <w:r>
              <w:rPr>
                <w:rFonts w:ascii="仿宋_GB2312" w:hAnsi="仿宋_GB2312" w:cs="仿宋_GB2312" w:eastAsia="仿宋_GB2312"/>
              </w:rPr>
              <w:t>（一）西安市新城区人民法院为解决历史档案存储保管问题，现需要委托保管存储一批历史诉讼档案。工作内容包括：</w:t>
            </w:r>
          </w:p>
          <w:p>
            <w:pPr>
              <w:pStyle w:val="null3"/>
            </w:pPr>
            <w:r>
              <w:rPr>
                <w:rFonts w:ascii="仿宋_GB2312" w:hAnsi="仿宋_GB2312" w:cs="仿宋_GB2312" w:eastAsia="仿宋_GB2312"/>
              </w:rPr>
              <w:t>1、提供符合要求的档案存储场地；</w:t>
            </w:r>
          </w:p>
          <w:p>
            <w:pPr>
              <w:pStyle w:val="null3"/>
            </w:pPr>
            <w:r>
              <w:rPr>
                <w:rFonts w:ascii="仿宋_GB2312" w:hAnsi="仿宋_GB2312" w:cs="仿宋_GB2312" w:eastAsia="仿宋_GB2312"/>
              </w:rPr>
              <w:t>2、档案库房提供一套托管档案信息管理系统，将所有托管档案相关信息录入系统，实现档案数据的系统和科学管理，满足快速查询利用的需求，并且能够实现数据的实时更新；</w:t>
            </w:r>
          </w:p>
          <w:p>
            <w:pPr>
              <w:pStyle w:val="null3"/>
            </w:pPr>
            <w:r>
              <w:rPr>
                <w:rFonts w:ascii="仿宋_GB2312" w:hAnsi="仿宋_GB2312" w:cs="仿宋_GB2312" w:eastAsia="仿宋_GB2312"/>
              </w:rPr>
              <w:t>3、提供诉讼档案的搬迁服务</w:t>
            </w:r>
          </w:p>
          <w:p>
            <w:pPr>
              <w:pStyle w:val="null3"/>
            </w:pPr>
            <w:r>
              <w:rPr>
                <w:rFonts w:ascii="仿宋_GB2312" w:hAnsi="仿宋_GB2312" w:cs="仿宋_GB2312" w:eastAsia="仿宋_GB2312"/>
              </w:rPr>
              <w:t>3.1新产生的诉讼档案搬迁（包含整理、清点、装箱、出库、运送、入库）</w:t>
            </w:r>
          </w:p>
          <w:p>
            <w:pPr>
              <w:pStyle w:val="null3"/>
            </w:pPr>
            <w:r>
              <w:rPr>
                <w:rFonts w:ascii="仿宋_GB2312" w:hAnsi="仿宋_GB2312" w:cs="仿宋_GB2312" w:eastAsia="仿宋_GB2312"/>
              </w:rPr>
              <w:t>3.2已托管档案的诉讼搬迁（包含整理、清点、装箱、出库、运送、入库）</w:t>
            </w:r>
          </w:p>
          <w:p>
            <w:pPr>
              <w:pStyle w:val="null3"/>
            </w:pPr>
            <w:r>
              <w:rPr>
                <w:rFonts w:ascii="仿宋_GB2312" w:hAnsi="仿宋_GB2312" w:cs="仿宋_GB2312" w:eastAsia="仿宋_GB2312"/>
              </w:rPr>
              <w:t>4、按照西安市新城区人民法院要求提供调阅、配送服务。</w:t>
            </w:r>
          </w:p>
          <w:p>
            <w:pPr>
              <w:pStyle w:val="null3"/>
            </w:pPr>
            <w:r>
              <w:rPr>
                <w:rFonts w:ascii="仿宋_GB2312" w:hAnsi="仿宋_GB2312" w:cs="仿宋_GB2312" w:eastAsia="仿宋_GB2312"/>
              </w:rPr>
              <w:t>本次招标计划将我院现有需托管寄存档案数量约10251余箱。到期数量递增，以此累计（此为预估数量，最终以实际发生数量为准）。采购期根据寄存数量、寄存时间、寄存单价确认，单价限价为60元/箱/年，合同签订生效日期起一年。</w:t>
            </w:r>
          </w:p>
          <w:p>
            <w:pPr>
              <w:pStyle w:val="null3"/>
            </w:pPr>
            <w:r>
              <w:rPr>
                <w:rFonts w:ascii="仿宋_GB2312" w:hAnsi="仿宋_GB2312" w:cs="仿宋_GB2312" w:eastAsia="仿宋_GB2312"/>
              </w:rPr>
              <w:t>（二）采购要求</w:t>
            </w:r>
          </w:p>
          <w:p>
            <w:pPr>
              <w:pStyle w:val="null3"/>
            </w:pPr>
            <w:r>
              <w:rPr>
                <w:rFonts w:ascii="仿宋_GB2312" w:hAnsi="仿宋_GB2312" w:cs="仿宋_GB2312" w:eastAsia="仿宋_GB2312"/>
              </w:rPr>
              <w:t>1、档案库房地址要求：要求档案库房选址具备地势较高、场地干燥、排水通畅、空气流通和环境安静的地段，远离污染源、高压输电线穿越和存放易燃、易爆物的场所至少500平方米以上（提供相关证明材料）。</w:t>
            </w:r>
          </w:p>
          <w:p>
            <w:pPr>
              <w:pStyle w:val="null3"/>
            </w:pPr>
            <w:r>
              <w:rPr>
                <w:rFonts w:ascii="仿宋_GB2312" w:hAnsi="仿宋_GB2312" w:cs="仿宋_GB2312" w:eastAsia="仿宋_GB2312"/>
              </w:rPr>
              <w:t>2、档案保管设备：档案库存储设备为符合国家标准的密集架、阁楼式货架等保管设备标准（提供相关证明材料）。</w:t>
            </w:r>
          </w:p>
          <w:p>
            <w:pPr>
              <w:pStyle w:val="null3"/>
            </w:pPr>
            <w:r>
              <w:rPr>
                <w:rFonts w:ascii="仿宋_GB2312" w:hAnsi="仿宋_GB2312" w:cs="仿宋_GB2312" w:eastAsia="仿宋_GB2312"/>
              </w:rPr>
              <w:t>3、档案库房技术标准要求：</w:t>
            </w:r>
          </w:p>
          <w:p>
            <w:pPr>
              <w:pStyle w:val="null3"/>
            </w:pPr>
            <w:r>
              <w:rPr>
                <w:rFonts w:ascii="仿宋_GB2312" w:hAnsi="仿宋_GB2312" w:cs="仿宋_GB2312" w:eastAsia="仿宋_GB2312"/>
              </w:rPr>
              <w:t>（1）档案库房的设计根据本市的气候特征，具备重点满足隔热、防潮、通风的需要，并遵守建筑设计防火的有关规定和规范。</w:t>
            </w:r>
          </w:p>
          <w:p>
            <w:pPr>
              <w:pStyle w:val="null3"/>
            </w:pPr>
            <w:r>
              <w:rPr>
                <w:rFonts w:ascii="仿宋_GB2312" w:hAnsi="仿宋_GB2312" w:cs="仿宋_GB2312" w:eastAsia="仿宋_GB2312"/>
              </w:rPr>
              <w:t>（2）档案服务商根据功能需求具备档案存储专库、对外服务用房、档案业务和技术用房、办公用房和其他附属用房等，满足档案寄存、托管各项业务工作需要，各类用房应相对独立，进行档案传送时不应通过露天通道。</w:t>
            </w:r>
          </w:p>
          <w:p>
            <w:pPr>
              <w:pStyle w:val="null3"/>
            </w:pPr>
            <w:r>
              <w:rPr>
                <w:rFonts w:ascii="仿宋_GB2312" w:hAnsi="仿宋_GB2312" w:cs="仿宋_GB2312" w:eastAsia="仿宋_GB2312"/>
              </w:rPr>
              <w:t>（3）根据档案保管存储技术要求，长期和永久保管期限的客户档案，库房温湿度要求为：纸质载体档案，温度应控制在14℃～24℃，相对湿度应控制在45%～60%之间；每昼夜温度波动幅度不得大于±2℃，相对湿度波动幅度不得大于±5％，有效采取库房温湿度监控措施，加强温湿度测试，做好测试记录。</w:t>
            </w:r>
          </w:p>
          <w:p>
            <w:pPr>
              <w:pStyle w:val="null3"/>
            </w:pPr>
            <w:r>
              <w:rPr>
                <w:rFonts w:ascii="仿宋_GB2312" w:hAnsi="仿宋_GB2312" w:cs="仿宋_GB2312" w:eastAsia="仿宋_GB2312"/>
              </w:rPr>
              <w:t>（4）档案库房耐火等级要求一级。库房屋顶应采取保温、隔热措施，案库区中同一防火分区内的库房之间的隔墙均应采用耐火极限不低于3.0h的防火墙，防火分区间及库区与其他部分之间的墙应采用耐火极限不低于4.0h的防火墙，其他内部隔墙可采用耐火极限不低于2.0h的不燃烧体。档案库中楼板的耐火极限不应低于1.5h。</w:t>
            </w:r>
          </w:p>
          <w:p>
            <w:pPr>
              <w:pStyle w:val="null3"/>
            </w:pPr>
            <w:r>
              <w:rPr>
                <w:rFonts w:ascii="仿宋_GB2312" w:hAnsi="仿宋_GB2312" w:cs="仿宋_GB2312" w:eastAsia="仿宋_GB2312"/>
              </w:rPr>
              <w:t>（5）档案装具：密集架、文件柜、阁楼式货架等设备主通道净宽不应小于1.20m，两行档案装具间净宽不应小于0.80m，档案装具端部与墙的净距离不应小于0.60m，档案装具背部与墙的净距离不应小于0.10m。</w:t>
            </w:r>
          </w:p>
          <w:p>
            <w:pPr>
              <w:pStyle w:val="null3"/>
            </w:pPr>
            <w:r>
              <w:rPr>
                <w:rFonts w:ascii="仿宋_GB2312" w:hAnsi="仿宋_GB2312" w:cs="仿宋_GB2312" w:eastAsia="仿宋_GB2312"/>
              </w:rPr>
              <w:t>（6）档案库房内应做到恒温恒湿，并具备防火、防盗、防潮、防水、防尘、防高温、防光、防霉、防虫、防鼠、防有害气体等功能。</w:t>
            </w:r>
          </w:p>
          <w:p>
            <w:pPr>
              <w:pStyle w:val="null3"/>
            </w:pPr>
            <w:r>
              <w:rPr>
                <w:rFonts w:ascii="仿宋_GB2312" w:hAnsi="仿宋_GB2312" w:cs="仿宋_GB2312" w:eastAsia="仿宋_GB2312"/>
              </w:rPr>
              <w:t>（7）档案库房内严禁设置明火设施，应按库房面积配置一定数量的温湿度检测调控设备、消防设备、防盗设备、档案消毒设备及各类档案装具设备。</w:t>
            </w:r>
          </w:p>
          <w:p>
            <w:pPr>
              <w:pStyle w:val="null3"/>
            </w:pPr>
            <w:r>
              <w:rPr>
                <w:rFonts w:ascii="仿宋_GB2312" w:hAnsi="仿宋_GB2312" w:cs="仿宋_GB2312" w:eastAsia="仿宋_GB2312"/>
              </w:rPr>
              <w:t>（8）档案库房的电梯、楼道和库区周边等重要部位应具备视频监控、火灾报警、红外线防范系统等安全防护设施。视频监控布置合理，无监控盲区和死角，对档案库房实行24小时录像监控，视频录像保存不少于90天。</w:t>
            </w:r>
          </w:p>
          <w:p>
            <w:pPr>
              <w:pStyle w:val="null3"/>
            </w:pPr>
            <w:r>
              <w:rPr>
                <w:rFonts w:ascii="仿宋_GB2312" w:hAnsi="仿宋_GB2312" w:cs="仿宋_GB2312" w:eastAsia="仿宋_GB2312"/>
              </w:rPr>
              <w:t>（9）档案服务商应具备科学的防尘、防有害生物、防有害气体等措施，维护档案载体的安全稳定，需要配备先进的微生物及霉变杀灭系统及空气净化系统，漏水检测系统。无需人员管理。</w:t>
            </w:r>
          </w:p>
          <w:p>
            <w:pPr>
              <w:pStyle w:val="null3"/>
            </w:pPr>
            <w:r>
              <w:rPr>
                <w:rFonts w:ascii="仿宋_GB2312" w:hAnsi="仿宋_GB2312" w:cs="仿宋_GB2312" w:eastAsia="仿宋_GB2312"/>
              </w:rPr>
              <w:t>（10）档案服务商应具备科学的管理制度，对空调、去湿、灭火、防盗等各类档案安全防护设备加强日常检查、维护等管理，及时排除各种故障，确保设备正常运行。</w:t>
            </w:r>
          </w:p>
          <w:p>
            <w:pPr>
              <w:pStyle w:val="null3"/>
            </w:pPr>
            <w:r>
              <w:rPr>
                <w:rFonts w:ascii="仿宋_GB2312" w:hAnsi="仿宋_GB2312" w:cs="仿宋_GB2312" w:eastAsia="仿宋_GB2312"/>
              </w:rPr>
              <w:t>（三）保密要求</w:t>
            </w:r>
          </w:p>
          <w:p>
            <w:pPr>
              <w:pStyle w:val="null3"/>
            </w:pPr>
            <w:r>
              <w:rPr>
                <w:rFonts w:ascii="仿宋_GB2312" w:hAnsi="仿宋_GB2312" w:cs="仿宋_GB2312" w:eastAsia="仿宋_GB2312"/>
              </w:rPr>
              <w:t>（1）中标单位工作人员需签订保密协议，在工作期间必须遵守《档案法》、《保密法》以及档案所属行业要求，确保纸质档案和信息不泄露；</w:t>
            </w:r>
          </w:p>
          <w:p>
            <w:pPr>
              <w:pStyle w:val="null3"/>
            </w:pPr>
            <w:r>
              <w:rPr>
                <w:rFonts w:ascii="仿宋_GB2312" w:hAnsi="仿宋_GB2312" w:cs="仿宋_GB2312" w:eastAsia="仿宋_GB2312"/>
              </w:rPr>
              <w:t>（2）中标人在项目完成后承担保密义务的期限为无限期保密；</w:t>
            </w:r>
          </w:p>
          <w:p>
            <w:pPr>
              <w:pStyle w:val="null3"/>
            </w:pPr>
            <w:r>
              <w:rPr>
                <w:rFonts w:ascii="仿宋_GB2312" w:hAnsi="仿宋_GB2312" w:cs="仿宋_GB2312" w:eastAsia="仿宋_GB2312"/>
              </w:rPr>
              <w:t>（3）工作人员不得以任何形式将各项档案资料带出指定工作现场，不得以任何形式进行泄漏、传播；不得无故查看及讨论档案内容；</w:t>
            </w:r>
          </w:p>
          <w:p>
            <w:pPr>
              <w:pStyle w:val="null3"/>
            </w:pPr>
            <w:r>
              <w:rPr>
                <w:rFonts w:ascii="仿宋_GB2312" w:hAnsi="仿宋_GB2312" w:cs="仿宋_GB2312" w:eastAsia="仿宋_GB2312"/>
              </w:rPr>
              <w:t>（4）工作人员不得携带与本工作无关的存储介质进入工作场地；</w:t>
            </w:r>
          </w:p>
          <w:p>
            <w:pPr>
              <w:pStyle w:val="null3"/>
            </w:pPr>
            <w:r>
              <w:rPr>
                <w:rFonts w:ascii="仿宋_GB2312" w:hAnsi="仿宋_GB2312" w:cs="仿宋_GB2312" w:eastAsia="仿宋_GB2312"/>
              </w:rPr>
              <w:t>（5）中标人应对本项目所用到的网络、计算机以及相关文档做好严密的保密措施；</w:t>
            </w:r>
          </w:p>
          <w:p>
            <w:pPr>
              <w:pStyle w:val="null3"/>
            </w:pPr>
            <w:r>
              <w:rPr>
                <w:rFonts w:ascii="仿宋_GB2312" w:hAnsi="仿宋_GB2312" w:cs="仿宋_GB2312" w:eastAsia="仿宋_GB2312"/>
              </w:rPr>
              <w:t>（6）未经用户方同意，中标人不得以任何理由打开档案箱锁扣。</w:t>
            </w:r>
          </w:p>
          <w:p>
            <w:pPr>
              <w:pStyle w:val="null3"/>
            </w:pPr>
            <w:r>
              <w:rPr>
                <w:rFonts w:ascii="仿宋_GB2312" w:hAnsi="仿宋_GB2312" w:cs="仿宋_GB2312" w:eastAsia="仿宋_GB2312"/>
              </w:rPr>
              <w:t>（四）安全保密要求：</w:t>
            </w:r>
          </w:p>
          <w:p>
            <w:pPr>
              <w:pStyle w:val="null3"/>
            </w:pPr>
            <w:r>
              <w:rPr>
                <w:rFonts w:ascii="仿宋_GB2312" w:hAnsi="仿宋_GB2312" w:cs="仿宋_GB2312" w:eastAsia="仿宋_GB2312"/>
              </w:rPr>
              <w:t>严格遵守相关保密安全规定，本项目必须在采购人指定的场所内进行，确保场所正常秩序和安全。不得遗失、损坏档案，如有违法者，将追究法律责任。档案整理加工单位应做到：</w:t>
            </w:r>
          </w:p>
          <w:p>
            <w:pPr>
              <w:pStyle w:val="null3"/>
            </w:pPr>
            <w:r>
              <w:rPr>
                <w:rFonts w:ascii="仿宋_GB2312" w:hAnsi="仿宋_GB2312" w:cs="仿宋_GB2312" w:eastAsia="仿宋_GB2312"/>
              </w:rPr>
              <w:t>1、与工作人员签订保密协议，加强对工作人员的保密教育。成交供应商负责对其聘用的工作人员进行身份审查、登记备案和签订保密协议，并将相关材料提交采购人备案。</w:t>
            </w:r>
          </w:p>
          <w:p>
            <w:pPr>
              <w:pStyle w:val="null3"/>
            </w:pPr>
            <w:r>
              <w:rPr>
                <w:rFonts w:ascii="仿宋_GB2312" w:hAnsi="仿宋_GB2312" w:cs="仿宋_GB2312" w:eastAsia="仿宋_GB2312"/>
              </w:rPr>
              <w:t>2、资料所有权归采购人所有，各种统计资料、纸质资料及各种清单等在项目结束时都必须完整移交。</w:t>
            </w:r>
          </w:p>
          <w:p>
            <w:pPr>
              <w:pStyle w:val="null3"/>
            </w:pPr>
            <w:r>
              <w:rPr>
                <w:rFonts w:ascii="仿宋_GB2312" w:hAnsi="仿宋_GB2312" w:cs="仿宋_GB2312" w:eastAsia="仿宋_GB2312"/>
              </w:rPr>
              <w:t>3、工作人员不得以任何形式将各项档案资料带出指定工作现场，不得以任何形式进行泄漏、传播；不得以任何方式非法向外人泄露档案所涉及的国家秘密；不得无故查看及讨论档案内容。否则按国家有关规定处理，情节严重的要承担相应的刑事责任。</w:t>
            </w:r>
          </w:p>
          <w:p>
            <w:pPr>
              <w:pStyle w:val="null3"/>
            </w:pPr>
            <w:r>
              <w:rPr>
                <w:rFonts w:ascii="仿宋_GB2312" w:hAnsi="仿宋_GB2312" w:cs="仿宋_GB2312" w:eastAsia="仿宋_GB2312"/>
              </w:rPr>
              <w:t>4、工作人员未经同意，不得私自携带任何可存储设备进入或离开工作现场。未经采购人批准，成交供应商不得以任何形式复制离线的档案图像和档案目录数据。</w:t>
            </w:r>
          </w:p>
          <w:p>
            <w:pPr>
              <w:pStyle w:val="null3"/>
            </w:pPr>
            <w:r>
              <w:rPr>
                <w:rFonts w:ascii="仿宋_GB2312" w:hAnsi="仿宋_GB2312" w:cs="仿宋_GB2312" w:eastAsia="仿宋_GB2312"/>
              </w:rPr>
              <w:t>5、加工完成，移交并验收合格后，成交供应商应在档案管理部门有关人员监督下，销毁所有存储介质的档案数据，并交由采购人保管。</w:t>
            </w:r>
          </w:p>
          <w:p>
            <w:pPr>
              <w:pStyle w:val="null3"/>
            </w:pPr>
            <w:r>
              <w:rPr>
                <w:rFonts w:ascii="仿宋_GB2312" w:hAnsi="仿宋_GB2312" w:cs="仿宋_GB2312" w:eastAsia="仿宋_GB2312"/>
              </w:rPr>
              <w:t>三、商务要求</w:t>
            </w:r>
          </w:p>
          <w:p>
            <w:pPr>
              <w:pStyle w:val="null3"/>
            </w:pPr>
            <w:r>
              <w:rPr>
                <w:rFonts w:ascii="仿宋_GB2312" w:hAnsi="仿宋_GB2312" w:cs="仿宋_GB2312" w:eastAsia="仿宋_GB2312"/>
              </w:rPr>
              <w:t>（一）服务期限：合同签订生效日期起一年或总预算金额执行完为止。</w:t>
            </w:r>
          </w:p>
          <w:p>
            <w:pPr>
              <w:pStyle w:val="null3"/>
            </w:pPr>
            <w:r>
              <w:rPr>
                <w:rFonts w:ascii="仿宋_GB2312" w:hAnsi="仿宋_GB2312" w:cs="仿宋_GB2312" w:eastAsia="仿宋_GB2312"/>
              </w:rPr>
              <w:t>（二）付款方式及结算</w:t>
            </w:r>
          </w:p>
          <w:p>
            <w:pPr>
              <w:pStyle w:val="null3"/>
            </w:pPr>
            <w:r>
              <w:rPr>
                <w:rFonts w:ascii="仿宋_GB2312" w:hAnsi="仿宋_GB2312" w:cs="仿宋_GB2312" w:eastAsia="仿宋_GB2312"/>
              </w:rPr>
              <w:t>（1）结算单位：银行转账，由采购人负责结算。在付款前，供应商必须开具与合同金额相应的发票给采购人，附详细清单。</w:t>
            </w:r>
          </w:p>
          <w:p>
            <w:pPr>
              <w:pStyle w:val="null3"/>
            </w:pPr>
            <w:r>
              <w:rPr>
                <w:rFonts w:ascii="仿宋_GB2312" w:hAnsi="仿宋_GB2312" w:cs="仿宋_GB2312" w:eastAsia="仿宋_GB2312"/>
              </w:rPr>
              <w:t>（2）付款方式:</w:t>
            </w:r>
          </w:p>
          <w:p>
            <w:pPr>
              <w:pStyle w:val="null3"/>
            </w:pPr>
            <w:r>
              <w:rPr>
                <w:rFonts w:ascii="仿宋_GB2312" w:hAnsi="仿宋_GB2312" w:cs="仿宋_GB2312" w:eastAsia="仿宋_GB2312"/>
              </w:rPr>
              <w:t>合同签订后采购人按寄存量一次性向中标供应商支付总价款（成交单价*箱数），总价款不超过合同总金额。</w:t>
            </w:r>
          </w:p>
          <w:p>
            <w:pPr>
              <w:pStyle w:val="null3"/>
            </w:pPr>
            <w:r>
              <w:rPr>
                <w:rFonts w:ascii="仿宋_GB2312" w:hAnsi="仿宋_GB2312" w:cs="仿宋_GB2312" w:eastAsia="仿宋_GB2312"/>
              </w:rPr>
              <w:t>（三）人员要求：</w:t>
            </w:r>
          </w:p>
          <w:p>
            <w:pPr>
              <w:pStyle w:val="null3"/>
            </w:pPr>
            <w:r>
              <w:rPr>
                <w:rFonts w:ascii="仿宋_GB2312" w:hAnsi="仿宋_GB2312" w:cs="仿宋_GB2312" w:eastAsia="仿宋_GB2312"/>
              </w:rPr>
              <w:t>（1）档案寄存服务商应指定专人配合负责档案库房的日常管理。库房钥匙或其他门禁设备应专人专管；档案库房的门、窗等应保持正常状态，实行双人员出入库制度，出库时应关闭门、窗，确保库房与外界连通环节的绝对安全。应配备相应数量的专业技术人员和管理人员，并配有与工作需要相适应的档案专业及以上技术职务人员。</w:t>
            </w:r>
          </w:p>
          <w:p>
            <w:pPr>
              <w:pStyle w:val="null3"/>
            </w:pPr>
            <w:r>
              <w:rPr>
                <w:rFonts w:ascii="仿宋_GB2312" w:hAnsi="仿宋_GB2312" w:cs="仿宋_GB2312" w:eastAsia="仿宋_GB2312"/>
              </w:rPr>
              <w:t>（2）档案寄存服务商从业人员应积极贯彻党和国家的各项方针、政策，严格执行档案法律法规和规范标准，自觉遵纪守法。</w:t>
            </w:r>
          </w:p>
          <w:p>
            <w:pPr>
              <w:pStyle w:val="null3"/>
            </w:pPr>
            <w:r>
              <w:rPr>
                <w:rFonts w:ascii="仿宋_GB2312" w:hAnsi="仿宋_GB2312" w:cs="仿宋_GB2312" w:eastAsia="仿宋_GB2312"/>
              </w:rPr>
              <w:t>（四）服务要求：</w:t>
            </w:r>
          </w:p>
          <w:p>
            <w:pPr>
              <w:pStyle w:val="null3"/>
            </w:pPr>
            <w:r>
              <w:rPr>
                <w:rFonts w:ascii="仿宋_GB2312" w:hAnsi="仿宋_GB2312" w:cs="仿宋_GB2312" w:eastAsia="仿宋_GB2312"/>
              </w:rPr>
              <w:t>（1）满足单位查询利用需求，提供档案现场和远程查询服务，并按照要求负责实体档案的调阅及配送服务；</w:t>
            </w:r>
          </w:p>
          <w:p>
            <w:pPr>
              <w:pStyle w:val="null3"/>
            </w:pPr>
            <w:r>
              <w:rPr>
                <w:rFonts w:ascii="仿宋_GB2312" w:hAnsi="仿宋_GB2312" w:cs="仿宋_GB2312" w:eastAsia="仿宋_GB2312"/>
              </w:rPr>
              <w:t>（2）定期提供更新版的档案存储数据信息，实现档案数据的系统和科学管理。</w:t>
            </w:r>
          </w:p>
          <w:p>
            <w:pPr>
              <w:pStyle w:val="null3"/>
            </w:pPr>
            <w:r>
              <w:rPr>
                <w:rFonts w:ascii="仿宋_GB2312" w:hAnsi="仿宋_GB2312" w:cs="仿宋_GB2312" w:eastAsia="仿宋_GB2312"/>
              </w:rPr>
              <w:t>（五）供应商同时须提供在陕西省档案局或西安市档案局的备案证明。</w:t>
            </w:r>
          </w:p>
          <w:p>
            <w:pPr>
              <w:pStyle w:val="null3"/>
            </w:pPr>
            <w:r>
              <w:rPr>
                <w:rFonts w:ascii="仿宋_GB2312" w:hAnsi="仿宋_GB2312" w:cs="仿宋_GB2312" w:eastAsia="仿宋_GB2312"/>
              </w:rPr>
              <w:t>（六）违约责任与解决争议的方法</w:t>
            </w:r>
          </w:p>
          <w:p>
            <w:pPr>
              <w:pStyle w:val="null3"/>
            </w:pPr>
            <w:r>
              <w:rPr>
                <w:rFonts w:ascii="仿宋_GB2312" w:hAnsi="仿宋_GB2312" w:cs="仿宋_GB2312" w:eastAsia="仿宋_GB2312"/>
              </w:rPr>
              <w:t>（1）按《中华人民共和国民法典》中的相关条款执行。</w:t>
            </w:r>
          </w:p>
          <w:p>
            <w:pPr>
              <w:pStyle w:val="null3"/>
            </w:pPr>
            <w:r>
              <w:rPr>
                <w:rFonts w:ascii="仿宋_GB2312" w:hAnsi="仿宋_GB2312" w:cs="仿宋_GB2312" w:eastAsia="仿宋_GB2312"/>
              </w:rPr>
              <w:t>（2）未按合同要求提供的服务，采购人会同招标代理机构有权终止合同和对供应商的违约行为进行追究。</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满足采购需求的人员配置。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满足采购需求的设施设备。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合同签订生效日期起一年或总预算金额执行完为止。</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（一）本项目验收费用，由供应商自行承担。 （二）服务期满后，由供应商向采购人递交验收通知书，经甲方确认后，组织供应商进行系统验收（必要时采购人可委托具有相关资质的第三方检测机构/技术专家对本次服务进行系统验收，需要国家法定检验部门进行检验或验收的由供应商负责联系）。验收合格后，填写政府采购项目验收单作为对本次服务的最终认可。 （三）验收依据： 1、本合同及附加文本； 2、磋商文件、成交供应商的响应文件及澄清（承诺）函； 3、国家相应的标准、规范。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同签订后采购人按寄存量一次性向供应商支付总价款，总价款不超过合同总金额</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以采购文件、响应文件及签订合同要求为准。</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1.本项目单价采购据实结算，最终结算金额不得超过采购预算。报价超过本项目最高限价的其响应无效。 2.为顺利推进本项目政府采购工作，供应商须在陕西省政府采购电子化交易平台上传电子版响应文件并完成签章、加密，同时，线下递交纸质版响应文件正本一份。若电子版响应文件与纸质版响应文件不一致的，以陕西省政府采购电子化交易平台上传的电子版响应文件为准。纸质版响应文件递交截止时间同开标截止时间，递交地点为西安市经济技术开发区凤城3路3号巍然大厦1号楼B座6楼。</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具有独立承担民事责任能力的法人、其他组织或自然人，提供合法有效的统一社会信用代码营业执照（事业单位法人证书/专业服务机构执业许可证/民办非企业单位登记证书，自然人提供身份证）；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完整的2025年度经审计的财务报告，审计报告应当经过注册会计师行业统一监管平台备案赋码（成立时间至提交响应文件截止时间不足一年的可提供成立后任意时段的资产负债表），或其递交响应文件截止之日前三个月内基本开户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提供递交响应文件截止之日前六个月内任意一个月的依法缴纳税收的相关凭据，凭据应有税务机关或代收机关的公章或业务专用章。依法免税或无须缴纳税收的供应商，应提供相应证明文件；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社会保障资金缴存证明</w:t>
            </w:r>
          </w:p>
        </w:tc>
        <w:tc>
          <w:tcPr>
            <w:tcW w:type="dxa" w:w="3322"/>
          </w:tcPr>
          <w:p>
            <w:pPr>
              <w:pStyle w:val="null3"/>
            </w:pPr>
            <w:r>
              <w:rPr>
                <w:rFonts w:ascii="仿宋_GB2312" w:hAnsi="仿宋_GB2312" w:cs="仿宋_GB2312" w:eastAsia="仿宋_GB2312"/>
              </w:rPr>
              <w:t>提供递交响应文件截止之日前六个月内任意一个月的社会保障资金缴存单据或社保机构开具的社会保险参保缴费情况证明。依法不需要缴纳社会保障资金的供应商应提供相关证明文件；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提供具有履行本合同所必需的专业技术能力的书面声明；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参加本次政府采购活动前3年内在经营活动中没有重大违纪，以及未被列入失信被执行人、重大税收违法失信主体、政府采购严重违法失信行为记录名单的书面声明；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法定代表人直接参加磋商的，须出具法定代表人身份证明书及身份证；授权代表参加磋商的，须出具法定代表人授权书；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信用中国</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关联声明</w:t>
            </w:r>
          </w:p>
        </w:tc>
        <w:tc>
          <w:tcPr>
            <w:tcW w:type="dxa" w:w="3322"/>
          </w:tcPr>
          <w:p>
            <w:pPr>
              <w:pStyle w:val="null3"/>
            </w:pPr>
            <w:r>
              <w:rPr>
                <w:rFonts w:ascii="仿宋_GB2312" w:hAnsi="仿宋_GB2312" w:cs="仿宋_GB2312" w:eastAsia="仿宋_GB2312"/>
              </w:rPr>
              <w:t>供应商关联关系声明，包括：①控股管理关系（不得与参加本项目的其他供应商单位负责人为同一人或者存在直接控股、管理关系），②未为本项目提供整体设计、规范编制或者项目管理、监理、检测等服务；</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本项目专门面向中小企业采购，供应商须提供中小企业声明函；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本项目不接受联合体磋商，提供非联合体磋商声明；</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根据“财库〔2026〕2号”文件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报价一览表.docx 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供应商名称和公章、营业执照一致</w:t>
            </w:r>
          </w:p>
        </w:tc>
        <w:tc>
          <w:tcPr>
            <w:tcW w:type="dxa" w:w="1661"/>
          </w:tcPr>
          <w:p>
            <w:pPr>
              <w:pStyle w:val="null3"/>
            </w:pPr>
            <w:r>
              <w:rPr>
                <w:rFonts w:ascii="仿宋_GB2312" w:hAnsi="仿宋_GB2312" w:cs="仿宋_GB2312" w:eastAsia="仿宋_GB2312"/>
              </w:rPr>
              <w:t>项目理解、重难点分析.docx 报价一览表.docx 业绩.docx 人员配备.docx 供应商认为有必要说明的其他资料.docx 中小企业声明函 档案信息管理系统方案.docx 项目团队人员.docx 后续服务及承诺.docx 服务偏离表.docx 资格证明文件.docx 响应文件封面 保密方案.docx 分项报价表.docx 应急预案.docx 残疾人福利性单位声明函 标的清单 档案防护设施配置.docx 响应函 商务偏离表.docx 服务方案.docx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完整无缺项，无选择性报价</w:t>
            </w:r>
          </w:p>
        </w:tc>
        <w:tc>
          <w:tcPr>
            <w:tcW w:type="dxa" w:w="1661"/>
          </w:tcPr>
          <w:p>
            <w:pPr>
              <w:pStyle w:val="null3"/>
            </w:pPr>
            <w:r>
              <w:rPr>
                <w:rFonts w:ascii="仿宋_GB2312" w:hAnsi="仿宋_GB2312" w:cs="仿宋_GB2312" w:eastAsia="仿宋_GB2312"/>
              </w:rPr>
              <w:t>报价一览表.docx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响应文件的有效期</w:t>
            </w:r>
          </w:p>
        </w:tc>
        <w:tc>
          <w:tcPr>
            <w:tcW w:type="dxa" w:w="3322"/>
          </w:tcPr>
          <w:p>
            <w:pPr>
              <w:pStyle w:val="null3"/>
            </w:pPr>
            <w:r>
              <w:rPr>
                <w:rFonts w:ascii="仿宋_GB2312" w:hAnsi="仿宋_GB2312" w:cs="仿宋_GB2312" w:eastAsia="仿宋_GB2312"/>
              </w:rPr>
              <w:t>自开标之日起不少于90个日历日</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响应文件签字、盖章</w:t>
            </w:r>
          </w:p>
        </w:tc>
        <w:tc>
          <w:tcPr>
            <w:tcW w:type="dxa" w:w="3322"/>
          </w:tcPr>
          <w:p>
            <w:pPr>
              <w:pStyle w:val="null3"/>
            </w:pPr>
            <w:r>
              <w:rPr>
                <w:rFonts w:ascii="仿宋_GB2312" w:hAnsi="仿宋_GB2312" w:cs="仿宋_GB2312" w:eastAsia="仿宋_GB2312"/>
              </w:rPr>
              <w:t>响应文件的签字盖章合格有效</w:t>
            </w:r>
          </w:p>
        </w:tc>
        <w:tc>
          <w:tcPr>
            <w:tcW w:type="dxa" w:w="1661"/>
          </w:tcPr>
          <w:p>
            <w:pPr>
              <w:pStyle w:val="null3"/>
            </w:pPr>
            <w:r>
              <w:rPr>
                <w:rFonts w:ascii="仿宋_GB2312" w:hAnsi="仿宋_GB2312" w:cs="仿宋_GB2312" w:eastAsia="仿宋_GB2312"/>
              </w:rPr>
              <w:t>项目理解、重难点分析.docx 报价一览表.docx 业绩.docx 人员配备.docx 供应商认为有必要说明的其他资料.docx 中小企业声明函 档案信息管理系统方案.docx 项目团队人员.docx 后续服务及承诺.docx 服务偏离表.docx 资格证明文件.docx 响应文件封面 保密方案.docx 分项报价表.docx 应急预案.docx 残疾人福利性单位声明函 标的清单 档案防护设施配置.docx 响应函 商务偏离表.docx 服务方案.docx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采购文件商务条款</w:t>
            </w:r>
          </w:p>
        </w:tc>
        <w:tc>
          <w:tcPr>
            <w:tcW w:type="dxa" w:w="3322"/>
          </w:tcPr>
          <w:p>
            <w:pPr>
              <w:pStyle w:val="null3"/>
            </w:pPr>
            <w:r>
              <w:rPr>
                <w:rFonts w:ascii="仿宋_GB2312" w:hAnsi="仿宋_GB2312" w:cs="仿宋_GB2312" w:eastAsia="仿宋_GB2312"/>
              </w:rPr>
              <w:t>符合采购文件商务条款，无重大保留或偏差</w:t>
            </w:r>
          </w:p>
        </w:tc>
        <w:tc>
          <w:tcPr>
            <w:tcW w:type="dxa" w:w="1661"/>
          </w:tcPr>
          <w:p>
            <w:pPr>
              <w:pStyle w:val="null3"/>
            </w:pPr>
            <w:r>
              <w:rPr>
                <w:rFonts w:ascii="仿宋_GB2312" w:hAnsi="仿宋_GB2312" w:cs="仿宋_GB2312" w:eastAsia="仿宋_GB2312"/>
              </w:rPr>
              <w:t>商务偏离表.docx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其它情形</w:t>
            </w:r>
          </w:p>
        </w:tc>
        <w:tc>
          <w:tcPr>
            <w:tcW w:type="dxa" w:w="3322"/>
          </w:tcPr>
          <w:p>
            <w:pPr>
              <w:pStyle w:val="null3"/>
            </w:pPr>
            <w:r>
              <w:rPr>
                <w:rFonts w:ascii="仿宋_GB2312" w:hAnsi="仿宋_GB2312" w:cs="仿宋_GB2312" w:eastAsia="仿宋_GB2312"/>
              </w:rPr>
              <w:t>无不符合法律法规或磋商文件规定的响应无效条款</w:t>
            </w:r>
          </w:p>
        </w:tc>
        <w:tc>
          <w:tcPr>
            <w:tcW w:type="dxa" w:w="1661"/>
          </w:tcPr>
          <w:p>
            <w:pPr>
              <w:pStyle w:val="null3"/>
            </w:pPr>
            <w:r>
              <w:rPr>
                <w:rFonts w:ascii="仿宋_GB2312" w:hAnsi="仿宋_GB2312" w:cs="仿宋_GB2312" w:eastAsia="仿宋_GB2312"/>
              </w:rPr>
              <w:t>项目理解、重难点分析.docx 报价一览表.docx 业绩.docx 人员配备.docx 供应商认为有必要说明的其他资料.docx 中小企业声明函 档案信息管理系统方案.docx 项目团队人员.docx 后续服务及承诺.docx 服务偏离表.docx 资格证明文件.docx 响应文件封面 保密方案.docx 分项报价表.docx 应急预案.docx 残疾人福利性单位声明函 标的清单 档案防护设施配置.docx 响应函 商务偏离表.docx 服务方案.docx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项目理解、重难点分析</w:t>
            </w:r>
          </w:p>
        </w:tc>
        <w:tc>
          <w:tcPr>
            <w:tcW w:type="dxa" w:w="2492"/>
          </w:tcPr>
          <w:p>
            <w:pPr>
              <w:pStyle w:val="null3"/>
            </w:pPr>
            <w:r>
              <w:rPr>
                <w:rFonts w:ascii="仿宋_GB2312" w:hAnsi="仿宋_GB2312" w:cs="仿宋_GB2312" w:eastAsia="仿宋_GB2312"/>
              </w:rPr>
              <w:t>针对本项目提供项目理解、重难点分析，包括但不限于①项目背景、项目需求理解、项目需求分析、项目目标；②项目重点难点分析、应对措施。 评审标准：方案各部分内容全面详细、阐述条理清晰详尽、符合本项目采购需求，能保障本项目实施得6分；评审内容每缺一项扣3分，每有一处缺陷扣1分，扣完为止。（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项目理解、重难点分析.docx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针对本项目提供服务方案，包括但不限于①档案保管库房选址；②档案防护设备；③档案管理措施维护；④档案独立分隔、独立保管条件；⑤对未整理档案的整理、编目、装箱等服务提出解决方案。 评审标准：方案各部分内容全面详细、阐述条理清晰详尽、符合本项目采购需求，能保障本项目实施得15分；评审内容每缺一项扣3分，每有一处缺陷扣1分，扣完为止。（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档案防护设施配置</w:t>
            </w:r>
          </w:p>
        </w:tc>
        <w:tc>
          <w:tcPr>
            <w:tcW w:type="dxa" w:w="2492"/>
          </w:tcPr>
          <w:p>
            <w:pPr>
              <w:pStyle w:val="null3"/>
            </w:pPr>
            <w:r>
              <w:rPr>
                <w:rFonts w:ascii="仿宋_GB2312" w:hAnsi="仿宋_GB2312" w:cs="仿宋_GB2312" w:eastAsia="仿宋_GB2312"/>
              </w:rPr>
              <w:t>针对本项目提供档案防护设施配置（设施及设备均需提供相关证明材料），包括但不限于①防火，防水（放灭火设施、火灾报警设施、配置漏水等水患检测预警系统等）；②防盗（出入口、存储区、交接室、借阅室等主要区域的监控、门禁系统、红外报警设备等）；③温控（温湿度自动或人工调节设施等）；④防霉、防有害气体（档案库房整体气体智能净化、具备消毒设施、档案专用消毒室、库区具有空气净化功能，配备自动空气净化设备，防止有害气体的留存）；⑤防虫、防鼠（具有防虫、杀虫设备，灭杀效率90%以上、保管设备具备防鼠装置）；⑥防光、防尘（保管设备防光、库区配备除尘设备）。 评审标准：方案各部分内容全面详细、阐述条理清晰详尽、符合本项目采购需求，能保障本项目实施得18分；评审内容每缺一项扣3分，每有一处缺陷扣1分，扣完为止。（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档案防护设施配置.docx</w:t>
            </w:r>
          </w:p>
        </w:tc>
      </w:tr>
      <w:tr>
        <w:tc>
          <w:tcPr>
            <w:tcW w:type="dxa" w:w="831"/>
            <w:vMerge/>
          </w:tcPr>
          <w:p/>
        </w:tc>
        <w:tc>
          <w:tcPr>
            <w:tcW w:type="dxa" w:w="1661"/>
          </w:tcPr>
          <w:p>
            <w:pPr>
              <w:pStyle w:val="null3"/>
            </w:pPr>
            <w:r>
              <w:rPr>
                <w:rFonts w:ascii="仿宋_GB2312" w:hAnsi="仿宋_GB2312" w:cs="仿宋_GB2312" w:eastAsia="仿宋_GB2312"/>
              </w:rPr>
              <w:t>档案信息管理系统方案</w:t>
            </w:r>
          </w:p>
        </w:tc>
        <w:tc>
          <w:tcPr>
            <w:tcW w:type="dxa" w:w="2492"/>
          </w:tcPr>
          <w:p>
            <w:pPr>
              <w:pStyle w:val="null3"/>
            </w:pPr>
            <w:r>
              <w:rPr>
                <w:rFonts w:ascii="仿宋_GB2312" w:hAnsi="仿宋_GB2312" w:cs="仿宋_GB2312" w:eastAsia="仿宋_GB2312"/>
              </w:rPr>
              <w:t>针对本项目提供档案信息管理系统方案，包括但不限于①档案信息统计及查询；②信息系统智能化状态管理（如温湿度、设备运行状态、漏水报警、门禁报警、密集架状态、监控摄像头等，可设置自动釆集任务保留历史数据；支持档案信息统计和库房信息统计，可通过常见的图表形式实现数据深化分析等功能）。 评审标准：方案各部分内容全面详细、阐述条理清晰详尽、符合本项目采购需求，能保障本项目实施得6分；评审内容每缺一项扣3分，每有一处缺陷扣1分，扣完为止。（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档案信息管理系统方案.docx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参与本项目的服务人员，具有档案管理岗位业务知识培训合格证书，每提供1个得1分，最多得6分。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人员配备.docx</w:t>
            </w:r>
          </w:p>
        </w:tc>
      </w:tr>
      <w:tr>
        <w:tc>
          <w:tcPr>
            <w:tcW w:type="dxa" w:w="831"/>
            <w:vMerge/>
          </w:tcPr>
          <w:p/>
        </w:tc>
        <w:tc>
          <w:tcPr>
            <w:tcW w:type="dxa" w:w="1661"/>
          </w:tcPr>
          <w:p>
            <w:pPr>
              <w:pStyle w:val="null3"/>
            </w:pPr>
            <w:r>
              <w:rPr>
                <w:rFonts w:ascii="仿宋_GB2312" w:hAnsi="仿宋_GB2312" w:cs="仿宋_GB2312" w:eastAsia="仿宋_GB2312"/>
              </w:rPr>
              <w:t>项目团队人员</w:t>
            </w:r>
          </w:p>
        </w:tc>
        <w:tc>
          <w:tcPr>
            <w:tcW w:type="dxa" w:w="2492"/>
          </w:tcPr>
          <w:p>
            <w:pPr>
              <w:pStyle w:val="null3"/>
            </w:pPr>
            <w:r>
              <w:rPr>
                <w:rFonts w:ascii="仿宋_GB2312" w:hAnsi="仿宋_GB2312" w:cs="仿宋_GB2312" w:eastAsia="仿宋_GB2312"/>
              </w:rPr>
              <w:t>针对本项目提供项目团队人员配备方案，包括但不限于：①项目服务团队架构；②项目人员岗位划分及职责；③项目团队管理制度；④库房专职安保能力（提供人员相关证明材料）； 评审标准：方案各部分内容全面详细、阐述条理清晰详尽、符合本项目采购需求，能保障本项目实施得12分；评审内容每缺一项扣3分，每有一处缺陷扣1分，扣完为止。（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项目团队人员.docx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针对本项目提供针对性的应急预案，包括但不限于：①配送、存储、清查等环节的应急及补救措施；②突发情况补救措施。 评审标准：方案各部分内容全面详细、阐述条理清晰详尽、符合本项目采购需求，能保障本项目实施得6分；评审内容每缺一项扣3分，每有一处缺陷扣1分，扣完为止。（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应急预案.docx</w:t>
            </w:r>
          </w:p>
        </w:tc>
      </w:tr>
      <w:tr>
        <w:tc>
          <w:tcPr>
            <w:tcW w:type="dxa" w:w="831"/>
            <w:vMerge/>
          </w:tcPr>
          <w:p/>
        </w:tc>
        <w:tc>
          <w:tcPr>
            <w:tcW w:type="dxa" w:w="1661"/>
          </w:tcPr>
          <w:p>
            <w:pPr>
              <w:pStyle w:val="null3"/>
            </w:pPr>
            <w:r>
              <w:rPr>
                <w:rFonts w:ascii="仿宋_GB2312" w:hAnsi="仿宋_GB2312" w:cs="仿宋_GB2312" w:eastAsia="仿宋_GB2312"/>
              </w:rPr>
              <w:t>保密方案</w:t>
            </w:r>
          </w:p>
        </w:tc>
        <w:tc>
          <w:tcPr>
            <w:tcW w:type="dxa" w:w="2492"/>
          </w:tcPr>
          <w:p>
            <w:pPr>
              <w:pStyle w:val="null3"/>
            </w:pPr>
            <w:r>
              <w:rPr>
                <w:rFonts w:ascii="仿宋_GB2312" w:hAnsi="仿宋_GB2312" w:cs="仿宋_GB2312" w:eastAsia="仿宋_GB2312"/>
              </w:rPr>
              <w:t>针对本项目提供完善的保密方案，包括但不限于：①保管、运输过程的保密承诺方案；②供应商保密制度。 评审标准：方案各部分内容全面详细、阐述条理清晰详尽、符合本项目采购需求，能保障本项目实施得6分；评审内容每缺一项扣3分，每有一处缺陷扣1分，扣完为止。（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保密方案.docx</w:t>
            </w:r>
          </w:p>
        </w:tc>
      </w:tr>
      <w:tr>
        <w:tc>
          <w:tcPr>
            <w:tcW w:type="dxa" w:w="831"/>
            <w:vMerge/>
          </w:tcPr>
          <w:p/>
        </w:tc>
        <w:tc>
          <w:tcPr>
            <w:tcW w:type="dxa" w:w="1661"/>
          </w:tcPr>
          <w:p>
            <w:pPr>
              <w:pStyle w:val="null3"/>
            </w:pPr>
            <w:r>
              <w:rPr>
                <w:rFonts w:ascii="仿宋_GB2312" w:hAnsi="仿宋_GB2312" w:cs="仿宋_GB2312" w:eastAsia="仿宋_GB2312"/>
              </w:rPr>
              <w:t>后续服务及承诺</w:t>
            </w:r>
          </w:p>
        </w:tc>
        <w:tc>
          <w:tcPr>
            <w:tcW w:type="dxa" w:w="2492"/>
          </w:tcPr>
          <w:p>
            <w:pPr>
              <w:pStyle w:val="null3"/>
            </w:pPr>
            <w:r>
              <w:rPr>
                <w:rFonts w:ascii="仿宋_GB2312" w:hAnsi="仿宋_GB2312" w:cs="仿宋_GB2312" w:eastAsia="仿宋_GB2312"/>
              </w:rPr>
              <w:t>针对本项目提供后续服务及承诺方案，包括但不限于：①后续服务方案；②档案借阅配送时效性响应承诺；③服务质量保证承诺。 评审标准：方案各部分内容全面详细、阐述条理清晰详尽、符合本项目采购需求，能保障本项目实施得9分；评审内容每缺一项扣3分，每有一处缺陷扣1分，扣完为止。（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后续服务及承诺.docx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供应商提供2023年4月1日至今类似业绩（以合同签订日期为准），每提供1个得1分，满分6分。 注：提供合同复印件并加盖公章。</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价格分统一采用低价优先法计算，即满足磋商文件要求且磋商价格最低的磋商报价为磋商基准价，其价格分为满分。其他供应商的价格分统一按照下列公式计算： 磋商报价得分=(磋商基准价／磋商报价)×10，计算分数时四舍五入取小数点后两位。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报价一览表.docx</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详见附件：报价一览表.docx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详见附件：服务偏离表.docx</w:t>
      </w:r>
    </w:p>
    <w:p>
      <w:pPr>
        <w:pStyle w:val="null3"/>
        <w:ind w:firstLine="960"/>
      </w:pPr>
      <w:r>
        <w:rPr>
          <w:rFonts w:ascii="仿宋_GB2312" w:hAnsi="仿宋_GB2312" w:cs="仿宋_GB2312" w:eastAsia="仿宋_GB2312"/>
        </w:rPr>
        <w:t>详见附件：商务偏离表.docx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详见附件：项目理解、重难点分析.docx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详见附件：档案防护设施配置.docx</w:t>
      </w:r>
    </w:p>
    <w:p>
      <w:pPr>
        <w:pStyle w:val="null3"/>
        <w:ind w:firstLine="960"/>
      </w:pPr>
      <w:r>
        <w:rPr>
          <w:rFonts w:ascii="仿宋_GB2312" w:hAnsi="仿宋_GB2312" w:cs="仿宋_GB2312" w:eastAsia="仿宋_GB2312"/>
        </w:rPr>
        <w:t>详见附件：档案信息管理系统方案.docx</w:t>
      </w:r>
    </w:p>
    <w:p>
      <w:pPr>
        <w:pStyle w:val="null3"/>
        <w:ind w:firstLine="960"/>
      </w:pPr>
      <w:r>
        <w:rPr>
          <w:rFonts w:ascii="仿宋_GB2312" w:hAnsi="仿宋_GB2312" w:cs="仿宋_GB2312" w:eastAsia="仿宋_GB2312"/>
        </w:rPr>
        <w:t>详见附件：人员配备.docx</w:t>
      </w:r>
    </w:p>
    <w:p>
      <w:pPr>
        <w:pStyle w:val="null3"/>
        <w:ind w:firstLine="960"/>
      </w:pPr>
      <w:r>
        <w:rPr>
          <w:rFonts w:ascii="仿宋_GB2312" w:hAnsi="仿宋_GB2312" w:cs="仿宋_GB2312" w:eastAsia="仿宋_GB2312"/>
        </w:rPr>
        <w:t>详见附件：项目团队人员.docx</w:t>
      </w:r>
    </w:p>
    <w:p>
      <w:pPr>
        <w:pStyle w:val="null3"/>
        <w:ind w:firstLine="960"/>
      </w:pPr>
      <w:r>
        <w:rPr>
          <w:rFonts w:ascii="仿宋_GB2312" w:hAnsi="仿宋_GB2312" w:cs="仿宋_GB2312" w:eastAsia="仿宋_GB2312"/>
        </w:rPr>
        <w:t>详见附件：应急预案.docx</w:t>
      </w:r>
    </w:p>
    <w:p>
      <w:pPr>
        <w:pStyle w:val="null3"/>
        <w:ind w:firstLine="960"/>
      </w:pPr>
      <w:r>
        <w:rPr>
          <w:rFonts w:ascii="仿宋_GB2312" w:hAnsi="仿宋_GB2312" w:cs="仿宋_GB2312" w:eastAsia="仿宋_GB2312"/>
        </w:rPr>
        <w:t>详见附件：保密方案.docx</w:t>
      </w:r>
    </w:p>
    <w:p>
      <w:pPr>
        <w:pStyle w:val="null3"/>
        <w:ind w:firstLine="960"/>
      </w:pPr>
      <w:r>
        <w:rPr>
          <w:rFonts w:ascii="仿宋_GB2312" w:hAnsi="仿宋_GB2312" w:cs="仿宋_GB2312" w:eastAsia="仿宋_GB2312"/>
        </w:rPr>
        <w:t>详见附件：后续服务及承诺.docx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详见附件：供应商认为有必要说明的其他资料.docx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