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版本号：ZYZX2026-00720260515001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2026年95128助老服务热线项目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ZYZX2026-007</w:t>
      </w:r>
      <w:r>
        <w:br/>
      </w:r>
      <w:r>
        <w:br/>
      </w:r>
      <w:r>
        <w:br/>
      </w:r>
    </w:p>
    <w:p>
      <w:pPr>
        <w:pStyle w:val="null3"/>
        <w:jc w:val="center"/>
        <w:outlineLvl w:val="2"/>
      </w:pPr>
      <w:r>
        <w:rPr>
          <w:rFonts w:ascii="仿宋_GB2312" w:hAnsi="仿宋_GB2312" w:cs="仿宋_GB2312" w:eastAsia="仿宋_GB2312"/>
          <w:sz w:val="28"/>
          <w:b/>
        </w:rPr>
        <w:t>西安市出租汽车管理处</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西安市出租汽车管理处</w:t>
      </w:r>
      <w:r>
        <w:rPr>
          <w:rFonts w:ascii="仿宋_GB2312" w:hAnsi="仿宋_GB2312" w:cs="仿宋_GB2312" w:eastAsia="仿宋_GB2312"/>
        </w:rPr>
        <w:t>委托，拟对</w:t>
      </w:r>
      <w:r>
        <w:rPr>
          <w:rFonts w:ascii="仿宋_GB2312" w:hAnsi="仿宋_GB2312" w:cs="仿宋_GB2312" w:eastAsia="仿宋_GB2312"/>
        </w:rPr>
        <w:t>2026年95128助老服务热线项目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2026年95128助老服务热线项目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本项目拟采购2026年95128助老服务热线项目一项，具体详见采购文件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采购包1（2026年95128助老服务热线）：属于专门面向中小企业采购。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西安市出租汽车管理处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西安市莲湖区八佳路8号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029-88616457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张凯、王浩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下浮20%收取。2、成交单位在领取成交通知书之前，须向代理机构支付招标代理服务费。3、招标代理服务费以转账或现金形式缴纳至以下账户： 开户名称：正飏（陕西）项目管理咨询有限公司 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西安市出租汽车管理处</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西安市出租汽车管理处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西安市出租汽车管理处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联系人：张凯、王浩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00"/>
        </w:rPr>
        <w:t>本项目拟采购2026年95128助老服务热线项目一项，具体详见采购文件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95128助老服务热线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标的名称：95128助老服务热线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4"/>
                <w:b/>
                <w:color w:val="000000"/>
              </w:rPr>
              <w:t>一、项目概况</w:t>
            </w:r>
          </w:p>
          <w:p>
            <w:pPr>
              <w:pStyle w:val="null3"/>
              <w:ind w:firstLine="420"/>
            </w:pPr>
            <w:r>
              <w:rPr>
                <w:rFonts w:ascii="仿宋_GB2312" w:hAnsi="仿宋_GB2312" w:cs="仿宋_GB2312" w:eastAsia="仿宋_GB2312"/>
                <w:sz w:val="24"/>
                <w:color w:val="000000"/>
              </w:rPr>
              <w:t>为保障</w:t>
            </w:r>
            <w:r>
              <w:rPr>
                <w:rFonts w:ascii="仿宋_GB2312" w:hAnsi="仿宋_GB2312" w:cs="仿宋_GB2312" w:eastAsia="仿宋_GB2312"/>
                <w:sz w:val="24"/>
                <w:color w:val="000000"/>
              </w:rPr>
              <w:t>95128 热线全年正常运行，提升95128热线工作服务水平，特将西安市出租汽车管理处95128 热线业务整体外包。该专线设置10条，配备不超过17个服务岗。</w:t>
            </w:r>
          </w:p>
          <w:p>
            <w:pPr>
              <w:pStyle w:val="null3"/>
              <w:ind w:firstLine="643"/>
            </w:pPr>
            <w:r>
              <w:rPr>
                <w:rFonts w:ascii="仿宋_GB2312" w:hAnsi="仿宋_GB2312" w:cs="仿宋_GB2312" w:eastAsia="仿宋_GB2312"/>
                <w:sz w:val="24"/>
                <w:b/>
                <w:color w:val="000000"/>
              </w:rPr>
              <w:t>二、技术要求</w:t>
            </w:r>
          </w:p>
          <w:p>
            <w:pPr>
              <w:pStyle w:val="null3"/>
              <w:ind w:firstLine="422"/>
            </w:pPr>
            <w:r>
              <w:rPr>
                <w:rFonts w:ascii="仿宋_GB2312" w:hAnsi="仿宋_GB2312" w:cs="仿宋_GB2312" w:eastAsia="仿宋_GB2312"/>
                <w:sz w:val="24"/>
                <w:b/>
                <w:color w:val="000000"/>
              </w:rPr>
              <w:t>（一）服务内容和标准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1）本次西安市出租汽车管理处95128 热线业务整体外包项目，包含坐席人员的聘用、管理、培训和薪酬、福利、社会保险等相关内容。</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为确保应聘人员能够完成采购人约定交办的各项业务和工作任务，乙方应主动接受采购人对应聘人员进行业务管理，听取采购人对应聘人员绩效评定意见。供应商应及时考虑采购人对应聘人员的调整、辞退意见。</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3）工作时间按照采购人规定的工时制，工作日正常上下班，法定节假日及特殊情况按照采购人安排值班，由供应商按照采购人提供的值班人员名单及值班天数，给值班人员发放加班费。</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4）供应商应按照《中华人民共和国劳动法》、《中华人民共和国劳动合同法》等法律法规规定，及时与外包人员签订劳动合同，按时足额发放工资，办理缴纳社会保险。</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5）供应商中标后，应与采购人签署人力资源服务外包协议，在协议有效期内向采购人提供人力资源服务。</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6）根据采购人要求提供招聘和协助招聘工作，采购人可自行招聘确定外包员工人选，也可委托供应商，由供应商根据采购人的用工需要及岗位说明书，向采购人推荐人选，并由采购人最终确认。</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7）供应商负责依法为员工办理建立、缴纳、转移、享受各项社会保险（养老保险、失业保险、医疗保险、工伤保险、生育保险）及住房公积金的相关手续。</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8）采购人有权根据工作需要对外包员工进行岗前培训。</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9）供应商负责处理合同期内所有劳资纠纷和调节管理纠纷，及时更换不能胜任工作的员工。</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10）供应商应负责所有人事档案相关事宜，包括但不限于相关人事档案的收集、鉴定和管理、移交等。</w:t>
            </w:r>
          </w:p>
          <w:p>
            <w:pPr>
              <w:pStyle w:val="null3"/>
              <w:ind w:firstLine="422"/>
            </w:pPr>
            <w:r>
              <w:rPr>
                <w:rFonts w:ascii="仿宋_GB2312" w:hAnsi="仿宋_GB2312" w:cs="仿宋_GB2312" w:eastAsia="仿宋_GB2312"/>
                <w:sz w:val="24"/>
                <w:b/>
                <w:color w:val="000000"/>
              </w:rPr>
              <w:t>（二）人员招聘要求</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1）18-40 周岁，身体状况良好，品行端正，无违法犯罪记录；</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2）大专及以上学历，有电话客服经验优先；</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3）性格外向、亲和力强、思维敏捷、工作耐心细致，有较强的逻辑思维及良好的服务意识；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4）口齿清晰，普通话流利，语言表达能力强，有较好的沟通能力及交际技巧；</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5）熟练使用办公软件，打字速度快；</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6）具备良好的团队合作精神，服从工作安排，能适应夜班。</w:t>
            </w:r>
          </w:p>
          <w:p>
            <w:pPr>
              <w:pStyle w:val="null3"/>
              <w:ind w:firstLine="422"/>
            </w:pPr>
            <w:r>
              <w:rPr>
                <w:rFonts w:ascii="仿宋_GB2312" w:hAnsi="仿宋_GB2312" w:cs="仿宋_GB2312" w:eastAsia="仿宋_GB2312"/>
                <w:sz w:val="24"/>
                <w:b/>
                <w:color w:val="000000"/>
              </w:rPr>
              <w:t>注：个人条件优秀者，可适当放宽相应条件。</w:t>
            </w:r>
          </w:p>
          <w:p>
            <w:pPr>
              <w:pStyle w:val="null3"/>
              <w:ind w:firstLine="422"/>
            </w:pPr>
            <w:r>
              <w:rPr>
                <w:rFonts w:ascii="仿宋_GB2312" w:hAnsi="仿宋_GB2312" w:cs="仿宋_GB2312" w:eastAsia="仿宋_GB2312"/>
                <w:sz w:val="24"/>
                <w:b/>
                <w:color w:val="000000"/>
              </w:rPr>
              <w:t>（三）质量要求</w:t>
            </w:r>
          </w:p>
          <w:p>
            <w:pPr>
              <w:pStyle w:val="null3"/>
              <w:ind w:firstLine="42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合格，通过采购人的服务考核验收。</w:t>
            </w:r>
          </w:p>
          <w:p>
            <w:pPr>
              <w:pStyle w:val="null3"/>
              <w:ind w:firstLine="422"/>
            </w:pPr>
            <w:r>
              <w:rPr>
                <w:rFonts w:ascii="仿宋_GB2312" w:hAnsi="仿宋_GB2312" w:cs="仿宋_GB2312" w:eastAsia="仿宋_GB2312"/>
                <w:sz w:val="24"/>
                <w:b/>
                <w:color w:val="000000"/>
              </w:rPr>
              <w:t>三、商务要求</w:t>
            </w:r>
          </w:p>
          <w:p>
            <w:pPr>
              <w:pStyle w:val="null3"/>
              <w:ind w:firstLine="420"/>
            </w:pPr>
            <w:r>
              <w:rPr>
                <w:rFonts w:ascii="仿宋_GB2312" w:hAnsi="仿宋_GB2312" w:cs="仿宋_GB2312" w:eastAsia="仿宋_GB2312"/>
                <w:sz w:val="24"/>
                <w:color w:val="000000"/>
              </w:rPr>
              <w:t>（一）项目预算：</w:t>
            </w:r>
            <w:r>
              <w:rPr>
                <w:rFonts w:ascii="仿宋_GB2312" w:hAnsi="仿宋_GB2312" w:cs="仿宋_GB2312" w:eastAsia="仿宋_GB2312"/>
                <w:sz w:val="24"/>
                <w:color w:val="000000"/>
              </w:rPr>
              <w:t>1</w:t>
            </w:r>
            <w:r>
              <w:rPr>
                <w:rFonts w:ascii="仿宋_GB2312" w:hAnsi="仿宋_GB2312" w:cs="仿宋_GB2312" w:eastAsia="仿宋_GB2312"/>
                <w:sz w:val="24"/>
                <w:color w:val="000000"/>
              </w:rPr>
              <w:t>600</w:t>
            </w:r>
            <w:r>
              <w:rPr>
                <w:rFonts w:ascii="仿宋_GB2312" w:hAnsi="仿宋_GB2312" w:cs="仿宋_GB2312" w:eastAsia="仿宋_GB2312"/>
                <w:sz w:val="24"/>
                <w:color w:val="000000"/>
              </w:rPr>
              <w:t>000.00元</w:t>
            </w:r>
            <w:r>
              <w:rPr>
                <w:rFonts w:ascii="仿宋_GB2312" w:hAnsi="仿宋_GB2312" w:cs="仿宋_GB2312" w:eastAsia="仿宋_GB2312"/>
                <w:sz w:val="24"/>
              </w:rPr>
              <w:t>（</w:t>
            </w:r>
            <w:r>
              <w:rPr>
                <w:rFonts w:ascii="仿宋_GB2312" w:hAnsi="仿宋_GB2312" w:cs="仿宋_GB2312" w:eastAsia="仿宋_GB2312"/>
                <w:sz w:val="24"/>
              </w:rPr>
              <w:t>其中电信坐席费用为：</w:t>
            </w:r>
            <w:r>
              <w:rPr>
                <w:rFonts w:ascii="仿宋_GB2312" w:hAnsi="仿宋_GB2312" w:cs="仿宋_GB2312" w:eastAsia="仿宋_GB2312"/>
                <w:sz w:val="24"/>
              </w:rPr>
              <w:t>60000.00元、95128专项费用为：100000.00元，此部分</w:t>
            </w:r>
            <w:r>
              <w:rPr>
                <w:rFonts w:ascii="仿宋_GB2312" w:hAnsi="仿宋_GB2312" w:cs="仿宋_GB2312" w:eastAsia="仿宋_GB2312"/>
                <w:sz w:val="24"/>
              </w:rPr>
              <w:t>费用</w:t>
            </w:r>
            <w:r>
              <w:rPr>
                <w:rFonts w:ascii="仿宋_GB2312" w:hAnsi="仿宋_GB2312" w:cs="仿宋_GB2312" w:eastAsia="仿宋_GB2312"/>
                <w:sz w:val="24"/>
              </w:rPr>
              <w:t>为不可竞争费用，供应商报价时此部分不可变动。</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color w:val="000000"/>
              </w:rPr>
              <w:t>（二）服务期限：一年（具体服务起止日期以签订的合同约定日期为准）</w:t>
            </w:r>
          </w:p>
          <w:p>
            <w:pPr>
              <w:pStyle w:val="null3"/>
              <w:ind w:firstLine="420"/>
            </w:pPr>
            <w:r>
              <w:rPr>
                <w:rFonts w:ascii="仿宋_GB2312" w:hAnsi="仿宋_GB2312" w:cs="仿宋_GB2312" w:eastAsia="仿宋_GB2312"/>
                <w:sz w:val="24"/>
                <w:color w:val="000000"/>
              </w:rPr>
              <w:t>（三）服务地点：采购人指定地点</w:t>
            </w:r>
          </w:p>
          <w:p>
            <w:pPr>
              <w:pStyle w:val="null3"/>
              <w:ind w:firstLine="420"/>
            </w:pPr>
            <w:r>
              <w:rPr>
                <w:rFonts w:ascii="仿宋_GB2312" w:hAnsi="仿宋_GB2312" w:cs="仿宋_GB2312" w:eastAsia="仿宋_GB2312"/>
                <w:sz w:val="24"/>
                <w:color w:val="000000"/>
              </w:rPr>
              <w:t>（四）付款条件（进度和方式）：合同签订后</w:t>
            </w:r>
            <w:r>
              <w:rPr>
                <w:rFonts w:ascii="仿宋_GB2312" w:hAnsi="仿宋_GB2312" w:cs="仿宋_GB2312" w:eastAsia="仿宋_GB2312"/>
                <w:sz w:val="24"/>
                <w:color w:val="000000"/>
              </w:rPr>
              <w:t>30日内预付最终合同总价的40%；成交供应商完成项目人员聘用后30日内据实结算并支付最终合同总价的40%，经预算审批支付部门对供应商阶段考核合格后30日内支付最终合同总价的20%。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满足采购项目最低要求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一年（具体服务起止日期以签订的合同约定日期为准）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成交供应商完成项目人员聘用后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经预算审批支付部门对供应商阶段考核合格后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（二）按合同要求提供服务或服务质量不能满足招标、要求，乙方必须无条件提高、完善服务质量，否则，甲方会同监督机构、招标代理机构有权终止合同并对乙方违约行为进行追究。 （三）任何一方因不可抗力原因不能履行协议时，应在不可抗力事由发生后5日内以书面形式通知对方，并采取有效措施避免损失扩大，双方均设法补偿。如不可抗力事由消除后，仍无法履行本合同，双方可协商延缓或撤销该合同，双方责任免除。 本合同在履行过程中发生的争议，由甲、乙双方当事人协商解决，协商不成的按下列 第（二）种方式解决：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本项目成交供应商须在领取成交通知书时，提供纸质版响应文件壹份，纸质版响应文件需与系统签章版响应文件保持一致。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5、本项目专门面向中小企业采购（残疾人福利性单位、监狱企业视同小型、微型企业）。6、由于系统原因，本项目确定供应商及签订合同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采购人应在成交通知书发出之日起25天内与成交供应商签订采购合同。（3）付款条件（进度和方式）：合同签订后30日内预付最终合同总价的40%；成交供应商完成项目人员聘用后30日内据实结算并支付最终合同总价的40%，经预算审批支付部门对供应商阶段考核合格后30日内支付最终合同总价的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 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相关资格证明资料.docx 响应文件封面 方案响应部分.docx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满足磋商文件要求，报价唯一，且没有高于磋商文件规定的最高限价</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一年（具体服务起止日期以签订的合同约定日期为准）</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相关资格证明资料.docx 响应文件封面 方案响应部分.docx 磋商第一次报价表及报价明细表.docx 标的清单 承诺书.docx 报价表 响应函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针对本项目提出适用于本项目的总体方案，总体方案包括：①人员聘用方案②聘用人员管理方案③聘用人员培训方案④薪酬体系、福利、社会保险方案 二、评审标准 1、完整性：方案必须全面，对评审内容中的各项要求有详细描述； 2、可实施性：切合本项目实际情况，提出步骤清晰、合理的方案； 3、针对性：方案能够紧扣项目实际情况，内容科学合理。 三、赋分标准（满分24分） ①人员聘用方案：每完全满足一个评审标准得2分，满分6分； ②聘用人员管理方案:每完全满足一个评审标准得2分，满分6分； ③聘用人员培训方案:每完全满足一个评审标准得2分，满分6分； ④薪酬体系、福利、社会保险方案：每完全满足一个评审标准得 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针对本项目提出适用于本项目的应急预案，应急预案包括：①法定节假日人员值班冲突解决预案②聘用人员身体突发情况处理预案③临时增加工作确保人员轮岗上班的应急预案 二、评审标准 1、完整性：方案必须全面，对评审内容中的各项要求有详细描述； 2、可实施性：切合本项目实际情况，提出步骤清晰、合理的方案； 3、针对性：方案能够紧扣项目实际情况，内容科学合理。 三、赋分标准（满分9分） ①法定节假日人员值班冲突解决预案：每完全满足一个评审标准得1分，满分3分； ②聘用人员身体突发情况处理预案:每完全满足一个评审标准得1分，满分3分； ③临时增加工作确保人员轮岗上班的应急预案:每完全满足一个评审标准得1分，满分3分；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根据本项目特点制定档案管理方案，方案包括：①收集建立人员档案方案②鉴定人员档案方案③日常管理人员档案方案④档案移交制度 二、评审标准 1、完整性：方案必须全面，对评审内容中的各项要求有详细描述； 2、可实施性：切合本项目实际情况，提出步骤清晰、合理的方案； 3、针对性：方案能够紧扣项目实际情况，内容科学合理。 三、赋分标准（满分24分） ①收集建立人员档案方案：每完全满足一个评审标准得2分，满分6分； ②鉴定人员档案方案:每完全满足一个评审标准得2分，满分6分； ③日常管理人员档案方案:每完全满足一个评审标准得2分，满分6分； ④档案移交制度:每完全满足一个评审标准得2分，满分6分；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根据本项目拟投入的人员进行评审，内容包括：①人员数量、结构②人员专业、工作经验③人员管理制度 二、评审标准 1、完整性：方案必须全面，对评审内容中的各项要求有详细描述； 2、可实施性：切合本项目实际情况，提出步骤清晰、合理的方案； 3、针对性：方案能够紧扣项目实际情况，内容科学合理。 三、赋分标准（满分18分） ①人员数量、结构：每完全满足一个评审标准得2分，满分6分； ②人员专业、工作经验:每完全满足一个评审标准得2分，满分6分； ③人员管理制度:每完全满足一个评审标准得2分，满分6分；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一、评审内容 根据本项目提出服务承诺和建议，内容包括：①服务承诺②合理化建议 二、评审标准 1、完整性：内容必须全面，对评审内容中的各项要求有详细描述； 2、可实施性：切合本项目实际情况，提出步骤清晰、合理的内容； 3、针对性：方案能够紧扣项目实际情况，内容科学合理。 三、赋分标准（满分12分） ①服务承诺：每完全满足一个评审标准得2分，满分6分； ②合理化建议:每完全满足一个评审标准得2分，满分6分；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供应商须提供类似项目（人力资源）的合同或中标通知书（2023年5月至今）（时间以合同签订时间或中标通知书发出时间为准），每提供一份得1.5分，满分3分。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详见附件：磋商第一次报价表及报价明细表.docx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详见附件：方案响应部分.docx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