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版本号：HGZB2600520260616001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阎良区关山中学运动场改造项目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HGZB26005</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陕西辉光日新工程项目管理有限公司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陕西辉光日新工程项目管理有限公司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阎良区关山中学运动场改造项目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HGZB26005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阎良区关山中学运动场改造项目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阎良区关山中学运动场改造项目图纸内的运动场拆除及新建、主席台改造等内容，具体详见磋商文件。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采购包1（阎良区关山中学运动场改造项目）：属于专门面向中小企业采购。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1、供应商营业执照：①如供应商是企业（包括合伙企业），应提供在工商部门注册的有效“企业法人营业执照”或“营业执照”；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⑤如供应商为自然人，应提供有效的自然人身份证明。供应商需在项目电子化交易系统中按要求上传相应证明文件并进行电子签章。</w:t>
      </w:r>
    </w:p>
    <w:p>
      <w:pPr>
        <w:pStyle w:val="null3"/>
      </w:pPr>
      <w:r>
        <w:rPr>
          <w:rFonts w:ascii="仿宋_GB2312" w:hAnsi="仿宋_GB2312" w:cs="仿宋_GB2312" w:eastAsia="仿宋_GB2312"/>
        </w:rPr>
        <w:t>2、企业资质：供应商须具备建设行政主管部门核发的建筑工程施工总承包三级及以上资质，并具有有效的安全生产许可证。供应商需在项目电子化交易系统中按要求上传相应证明文件并进行电子签章。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和专业要求：拟派项目经理须具备建筑工程专业二级及以上注册建造师执业资格，有效的安全生产考核证书，在本单位注册且无在建项目。供应商需在项目电子化交易系统中按要求上传相应证明文件并进行电子签章。</w:t>
      </w:r>
    </w:p>
    <w:p>
      <w:pPr>
        <w:pStyle w:val="null3"/>
      </w:pPr>
      <w:r>
        <w:rPr>
          <w:rFonts w:ascii="仿宋_GB2312" w:hAnsi="仿宋_GB2312" w:cs="仿宋_GB2312" w:eastAsia="仿宋_GB2312"/>
        </w:rPr>
        <w:t>4、健全的财务会计制度的证明材料：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供应商需在项目电子化交易系统中按要求上传相应证明文件并进行电子签章。</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7、书面声明：提供参加本次政府采购活动前三年内在经营活动中没有重大违法记录的书面声明。供应商需在项目电子化交易系统中按要求上传相应证明文件并进行电子签章。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信誉证明：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9、承诺：提供具有履行合同所必需的设备和专业技术能力的承诺函；未为本项目提供整体设计、规范编制或者项目管理、监理、检测等服务。供应商需在项目电子化交易系统中按要求上传相应证明文件并进行电子签章。</w:t>
      </w:r>
    </w:p>
    <w:p>
      <w:pPr>
        <w:pStyle w:val="null3"/>
      </w:pPr>
      <w:r>
        <w:rPr>
          <w:rFonts w:ascii="仿宋_GB2312" w:hAnsi="仿宋_GB2312" w:cs="仿宋_GB2312" w:eastAsia="仿宋_GB2312"/>
        </w:rPr>
        <w:t>10、中小企业声明函：本项目专门针对中小企业采购，供应商应具有中小企业身份并提供相应的中小企业声明函。供应商需在项目电子化交易系统中按要求上传相应证明文件并进行电子签章。</w:t>
      </w:r>
    </w:p>
    <w:p>
      <w:pPr>
        <w:pStyle w:val="null3"/>
      </w:pPr>
      <w:r>
        <w:rPr>
          <w:rFonts w:ascii="仿宋_GB2312" w:hAnsi="仿宋_GB2312" w:cs="仿宋_GB2312" w:eastAsia="仿宋_GB2312"/>
        </w:rPr>
        <w:t>11、供应商负责人为同一人或者存在控股、管理关系的不同单位，不得参加同一项目的投标：供应商负责人为同一人或者存在控股、管理关系的不同单位，不得参加同一项目的投标。供应商需在项目电子化交易系统中按要求上传相应证明文件并进行电子签章。</w:t>
      </w:r>
    </w:p>
    <w:p>
      <w:pPr>
        <w:pStyle w:val="null3"/>
      </w:pPr>
      <w:r>
        <w:rPr>
          <w:rFonts w:ascii="仿宋_GB2312" w:hAnsi="仿宋_GB2312" w:cs="仿宋_GB2312" w:eastAsia="仿宋_GB2312"/>
        </w:rPr>
        <w:t>12、联合体：本项目不接受联合体磋商（提供承诺函）。供应商需在项目电子化交易系统中按要求上传相应证明文件并进行电子签章。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13891991776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陕西辉光日新工程项目管理有限公司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陕西省西安市凤城七路明丰国际22层2203室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冯金龙、陈鑫、田小强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13669233685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采购包1：3,799,175.61元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代理服务费收费标准：代理服务费收费标准：1.代理服务费按约定由成交供应商支付，领取成交通知书前，由成交供应商向采购代理机构缴纳代理服务费，一次性付清。 2.招标代理服务费：按国家发展改革委办公厅发改办价格【2003】857号文件、国家计价格【2002】1980号文件标准计取； 3.代理服务费缴纳账户：账户名称：陕西辉光日新工程项目管理有限公司；开户行：中国银行股份有限公司西安行政中心支行；账号：103287003173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陕西辉光日新工程项目管理有限公司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陕西辉光日新工程项目管理有限公司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陕西辉光日新工程项目管理有限公司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陕西辉光日新工程项目管理有限公司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陕西辉光日新工程项目管理有限公司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陕西辉光日新工程项目管理有限公司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联系人：田小强</w:t>
      </w:r>
    </w:p>
    <w:p>
      <w:pPr>
        <w:pStyle w:val="null3"/>
      </w:pPr>
      <w:r>
        <w:rPr>
          <w:rFonts w:ascii="仿宋_GB2312" w:hAnsi="仿宋_GB2312" w:cs="仿宋_GB2312" w:eastAsia="仿宋_GB2312"/>
        </w:rPr>
        <w:t>联系电话：13669233685</w:t>
      </w:r>
    </w:p>
    <w:p>
      <w:pPr>
        <w:pStyle w:val="null3"/>
      </w:pPr>
      <w:r>
        <w:rPr>
          <w:rFonts w:ascii="仿宋_GB2312" w:hAnsi="仿宋_GB2312" w:cs="仿宋_GB2312" w:eastAsia="仿宋_GB2312"/>
        </w:rPr>
        <w:t>地址：陕西省西安市凤城七路明丰国际22层2203室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3,799,175.61</w:t>
      </w:r>
    </w:p>
    <w:p>
      <w:pPr>
        <w:pStyle w:val="null3"/>
      </w:pPr>
      <w:r>
        <w:rPr>
          <w:rFonts w:ascii="仿宋_GB2312" w:hAnsi="仿宋_GB2312" w:cs="仿宋_GB2312" w:eastAsia="仿宋_GB2312"/>
        </w:rPr>
        <w:t>采购包最高限价（元）: 3,799,175.61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阎良区关山中学运动场改造项目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3,799,175.61</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标的名称：阎良区关山中学运动场改造项目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阎良区关山中学运动场改造项目图纸内的运动场拆除及新建、主席台改造等内容。。</w:t>
            </w:r>
          </w:p>
          <w:p>
            <w:pPr>
              <w:pStyle w:val="null3"/>
              <w:jc w:val="both"/>
            </w:pPr>
            <w:r>
              <w:rPr>
                <w:rFonts w:ascii="仿宋_GB2312" w:hAnsi="仿宋_GB2312" w:cs="仿宋_GB2312" w:eastAsia="仿宋_GB2312"/>
                <w:sz w:val="21"/>
                <w:b/>
              </w:rPr>
              <w:t>二、工程内容和施工地点、计划工期、缺陷责任期、质量保修期</w:t>
            </w:r>
          </w:p>
          <w:p>
            <w:pPr>
              <w:pStyle w:val="null3"/>
              <w:ind w:firstLine="420"/>
              <w:jc w:val="both"/>
            </w:pPr>
            <w:r>
              <w:rPr>
                <w:rFonts w:ascii="仿宋_GB2312" w:hAnsi="仿宋_GB2312" w:cs="仿宋_GB2312" w:eastAsia="仿宋_GB2312"/>
                <w:sz w:val="21"/>
              </w:rPr>
              <w:t>（一）工程内容：工程量清单及图纸的全部内容。</w:t>
            </w:r>
          </w:p>
          <w:p>
            <w:pPr>
              <w:pStyle w:val="null3"/>
              <w:ind w:firstLine="420"/>
              <w:jc w:val="both"/>
            </w:pPr>
            <w:r>
              <w:rPr>
                <w:rFonts w:ascii="仿宋_GB2312" w:hAnsi="仿宋_GB2312" w:cs="仿宋_GB2312" w:eastAsia="仿宋_GB2312"/>
                <w:sz w:val="21"/>
              </w:rPr>
              <w:t>（二）工程地点：阎良区关山中学运动场改造项目校内。</w:t>
            </w:r>
          </w:p>
          <w:p>
            <w:pPr>
              <w:pStyle w:val="null3"/>
              <w:ind w:firstLine="420"/>
              <w:jc w:val="both"/>
            </w:pPr>
            <w:r>
              <w:rPr>
                <w:rFonts w:ascii="仿宋_GB2312" w:hAnsi="仿宋_GB2312" w:cs="仿宋_GB2312" w:eastAsia="仿宋_GB2312"/>
                <w:sz w:val="21"/>
              </w:rPr>
              <w:t>（三）计划工期：自进场之日起</w:t>
            </w:r>
            <w:r>
              <w:rPr>
                <w:rFonts w:ascii="仿宋_GB2312" w:hAnsi="仿宋_GB2312" w:cs="仿宋_GB2312" w:eastAsia="仿宋_GB2312"/>
                <w:sz w:val="21"/>
              </w:rPr>
              <w:t>50</w:t>
            </w:r>
            <w:r>
              <w:rPr>
                <w:rFonts w:ascii="仿宋_GB2312" w:hAnsi="仿宋_GB2312" w:cs="仿宋_GB2312" w:eastAsia="仿宋_GB2312"/>
                <w:sz w:val="21"/>
              </w:rPr>
              <w:t>个日历日内竣工。</w:t>
            </w:r>
          </w:p>
          <w:p>
            <w:pPr>
              <w:pStyle w:val="null3"/>
              <w:ind w:firstLine="420"/>
              <w:jc w:val="both"/>
            </w:pPr>
            <w:r>
              <w:rPr>
                <w:rFonts w:ascii="仿宋_GB2312" w:hAnsi="仿宋_GB2312" w:cs="仿宋_GB2312" w:eastAsia="仿宋_GB2312"/>
                <w:sz w:val="21"/>
              </w:rPr>
              <w:t>（四）缺陷责任期：质保期间履行好质保责任。</w:t>
            </w:r>
          </w:p>
          <w:p>
            <w:pPr>
              <w:pStyle w:val="null3"/>
              <w:ind w:firstLine="420"/>
              <w:jc w:val="both"/>
            </w:pPr>
            <w:r>
              <w:rPr>
                <w:rFonts w:ascii="仿宋_GB2312" w:hAnsi="仿宋_GB2312" w:cs="仿宋_GB2312" w:eastAsia="仿宋_GB2312"/>
                <w:sz w:val="21"/>
              </w:rPr>
              <w:t>（五）质量保修期：见《建设工程质量管理条例》。</w:t>
            </w:r>
          </w:p>
          <w:p>
            <w:pPr>
              <w:pStyle w:val="null3"/>
              <w:jc w:val="both"/>
            </w:pPr>
            <w:r>
              <w:rPr>
                <w:rFonts w:ascii="仿宋_GB2312" w:hAnsi="仿宋_GB2312" w:cs="仿宋_GB2312" w:eastAsia="仿宋_GB2312"/>
                <w:sz w:val="21"/>
                <w:b/>
              </w:rPr>
              <w:t>三、工程量清单和计价依据（可询问设计单位或评审单位）</w:t>
            </w:r>
          </w:p>
          <w:p>
            <w:pPr>
              <w:pStyle w:val="null3"/>
              <w:ind w:firstLine="420"/>
              <w:jc w:val="both"/>
            </w:pPr>
            <w:r>
              <w:rPr>
                <w:rFonts w:ascii="仿宋_GB2312" w:hAnsi="仿宋_GB2312" w:cs="仿宋_GB2312" w:eastAsia="仿宋_GB2312"/>
                <w:sz w:val="21"/>
              </w:rPr>
              <w:t>（一）、编制依据</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《陕西省建设工程工程量清单计价标准及计算标准》（</w:t>
            </w:r>
            <w:r>
              <w:rPr>
                <w:rFonts w:ascii="仿宋_GB2312" w:hAnsi="仿宋_GB2312" w:cs="仿宋_GB2312" w:eastAsia="仿宋_GB2312"/>
                <w:sz w:val="21"/>
              </w:rPr>
              <w:t>2025</w:t>
            </w:r>
            <w:r>
              <w:rPr>
                <w:rFonts w:ascii="仿宋_GB2312" w:hAnsi="仿宋_GB2312" w:cs="仿宋_GB2312" w:eastAsia="仿宋_GB2312"/>
                <w:sz w:val="21"/>
              </w:rPr>
              <w:t>）；陕西省住房和城乡建设厅文件《陕西省住房和城乡建设厅关于印发</w:t>
            </w:r>
            <w:r>
              <w:rPr>
                <w:rFonts w:ascii="仿宋_GB2312" w:hAnsi="仿宋_GB2312" w:cs="仿宋_GB2312" w:eastAsia="仿宋_GB2312"/>
                <w:sz w:val="21"/>
              </w:rPr>
              <w:t>2025</w:t>
            </w:r>
            <w:r>
              <w:rPr>
                <w:rFonts w:ascii="仿宋_GB2312" w:hAnsi="仿宋_GB2312" w:cs="仿宋_GB2312" w:eastAsia="仿宋_GB2312"/>
                <w:sz w:val="21"/>
              </w:rPr>
              <w:t>陕西省建设工程费用规则等计价依据的通知》（陕建管发【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》、《陕西省园林绿化工程基价表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依据西部建筑抗震勘察设计研究院有限公司（建筑设计五所）设计的图纸及图纸答疑等。</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建设工程项目有关的标准、规范、图集、技术资料。</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常规施工组织设计及施工方法。</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编制软件采用广联达云计价平台</w:t>
            </w:r>
            <w:r>
              <w:rPr>
                <w:rFonts w:ascii="仿宋_GB2312" w:hAnsi="仿宋_GB2312" w:cs="仿宋_GB2312" w:eastAsia="仿宋_GB2312"/>
                <w:sz w:val="21"/>
              </w:rPr>
              <w:t>GCCP7.0</w:t>
            </w:r>
            <w:r>
              <w:rPr>
                <w:rFonts w:ascii="仿宋_GB2312" w:hAnsi="仿宋_GB2312" w:cs="仿宋_GB2312" w:eastAsia="仿宋_GB2312"/>
                <w:sz w:val="21"/>
              </w:rPr>
              <w:t>，版本号：</w:t>
            </w:r>
            <w:r>
              <w:rPr>
                <w:rFonts w:ascii="仿宋_GB2312" w:hAnsi="仿宋_GB2312" w:cs="仿宋_GB2312" w:eastAsia="仿宋_GB2312"/>
                <w:sz w:val="21"/>
              </w:rPr>
              <w:t>7.5000.23.2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其他相关资料。</w:t>
            </w:r>
          </w:p>
          <w:p>
            <w:pPr>
              <w:pStyle w:val="null3"/>
              <w:ind w:firstLine="420"/>
              <w:jc w:val="both"/>
            </w:pPr>
            <w:r>
              <w:rPr>
                <w:rFonts w:ascii="仿宋_GB2312" w:hAnsi="仿宋_GB2312" w:cs="仿宋_GB2312" w:eastAsia="仿宋_GB2312"/>
                <w:sz w:val="21"/>
              </w:rPr>
              <w:t>（二）、其它说明</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工程暂列金额</w:t>
            </w:r>
            <w:r>
              <w:rPr>
                <w:rFonts w:ascii="仿宋_GB2312" w:hAnsi="仿宋_GB2312" w:cs="仿宋_GB2312" w:eastAsia="仿宋_GB2312"/>
                <w:sz w:val="21"/>
              </w:rPr>
              <w:t>80000</w:t>
            </w:r>
            <w:r>
              <w:rPr>
                <w:rFonts w:ascii="仿宋_GB2312" w:hAnsi="仿宋_GB2312" w:cs="仿宋_GB2312" w:eastAsia="仿宋_GB2312"/>
                <w:sz w:val="21"/>
              </w:rPr>
              <w:t>元已列入其它项目费的其他项目清单中。</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招标代理服务费和工程造价咨询费已列入其它项目费的其他项目清单中。</w:t>
            </w:r>
          </w:p>
          <w:p>
            <w:pPr>
              <w:pStyle w:val="null3"/>
              <w:jc w:val="both"/>
            </w:pPr>
            <w:r>
              <w:rPr>
                <w:rFonts w:ascii="仿宋_GB2312" w:hAnsi="仿宋_GB2312" w:cs="仿宋_GB2312" w:eastAsia="仿宋_GB2312"/>
                <w:sz w:val="21"/>
                <w:b/>
              </w:rPr>
              <w:t>四、施工要求</w:t>
            </w:r>
          </w:p>
          <w:p>
            <w:pPr>
              <w:pStyle w:val="null3"/>
              <w:ind w:firstLine="420"/>
              <w:jc w:val="both"/>
            </w:pPr>
            <w:r>
              <w:rPr>
                <w:rFonts w:ascii="仿宋_GB2312" w:hAnsi="仿宋_GB2312" w:cs="仿宋_GB2312" w:eastAsia="仿宋_GB2312"/>
                <w:sz w:val="21"/>
              </w:rPr>
              <w:t>在施工期间，中标供应商必须注意人员安全，加强安全措施，并对施工人员进行安全教育。施工人员必须持证上岗。因采购人工作的特殊性，要求中标供应商在施工中做到封闭性施工。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sz w:val="21"/>
                <w:b/>
              </w:rPr>
              <w:t>五、商务要求</w:t>
            </w:r>
          </w:p>
          <w:p>
            <w:pPr>
              <w:pStyle w:val="null3"/>
              <w:ind w:firstLine="420"/>
              <w:jc w:val="both"/>
            </w:pPr>
            <w:r>
              <w:rPr>
                <w:rFonts w:ascii="仿宋_GB2312" w:hAnsi="仿宋_GB2312" w:cs="仿宋_GB2312" w:eastAsia="仿宋_GB2312"/>
                <w:sz w:val="21"/>
              </w:rPr>
              <w:t>合同签订后，项目完成并验收合格后甲方向乙方支付合同款的</w:t>
            </w:r>
            <w:r>
              <w:rPr>
                <w:rFonts w:ascii="仿宋_GB2312" w:hAnsi="仿宋_GB2312" w:cs="仿宋_GB2312" w:eastAsia="仿宋_GB2312"/>
                <w:sz w:val="21"/>
              </w:rPr>
              <w:t>70%</w:t>
            </w:r>
            <w:r>
              <w:rPr>
                <w:rFonts w:ascii="仿宋_GB2312" w:hAnsi="仿宋_GB2312" w:cs="仿宋_GB2312" w:eastAsia="仿宋_GB2312"/>
                <w:sz w:val="21"/>
              </w:rPr>
              <w:t>，待结算审计完成后甲方向乙方支付至项目结算价款的</w:t>
            </w:r>
            <w:r>
              <w:rPr>
                <w:rFonts w:ascii="仿宋_GB2312" w:hAnsi="仿宋_GB2312" w:cs="仿宋_GB2312" w:eastAsia="仿宋_GB2312"/>
                <w:sz w:val="21"/>
              </w:rPr>
              <w:t>100%</w:t>
            </w:r>
            <w:r>
              <w:rPr>
                <w:rFonts w:ascii="仿宋_GB2312" w:hAnsi="仿宋_GB2312" w:cs="仿宋_GB2312" w:eastAsia="仿宋_GB2312"/>
                <w:sz w:val="21"/>
              </w:rPr>
              <w:t>，乙方要在项目质保期间严格履行好质保责任。</w:t>
            </w:r>
          </w:p>
          <w:p>
            <w:pPr>
              <w:pStyle w:val="null3"/>
              <w:jc w:val="both"/>
            </w:pPr>
            <w:r>
              <w:rPr>
                <w:rFonts w:ascii="仿宋_GB2312" w:hAnsi="仿宋_GB2312" w:cs="仿宋_GB2312" w:eastAsia="仿宋_GB2312"/>
                <w:sz w:val="21"/>
                <w:b/>
              </w:rPr>
              <w:t>六、其他：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）质量验收标准或规范</w:t>
            </w:r>
          </w:p>
          <w:p>
            <w:pPr>
              <w:pStyle w:val="null3"/>
              <w:ind w:firstLine="420"/>
              <w:jc w:val="both"/>
            </w:pPr>
            <w:r>
              <w:rPr>
                <w:rFonts w:ascii="仿宋_GB2312" w:hAnsi="仿宋_GB2312" w:cs="仿宋_GB2312" w:eastAsia="仿宋_GB2312"/>
                <w:sz w:val="21"/>
              </w:rPr>
              <w:t>符合国家及地方现行有关施工质量验收规范</w:t>
            </w:r>
            <w:r>
              <w:rPr>
                <w:rFonts w:ascii="仿宋_GB2312" w:hAnsi="仿宋_GB2312" w:cs="仿宋_GB2312" w:eastAsia="仿宋_GB2312"/>
                <w:sz w:val="21"/>
              </w:rPr>
              <w:t>“合格”要求。</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、违约责任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、发包人承诺按照法律规定履行项目审批手续、筹集工程建设资金并按照合同约定的期限和方式支付合同价款。</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、承包人承诺按照法律规定及合同约定组织完成工程施工，确保具有合法的施工资质，保证工程质量和安全，不进行转包及违法分包，并在缺陷责任期及保修期内承担相应的工程维修责任。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、发包人和承包人通过招投标形式签订合同的，双方理解并承诺不再就同一工程另行签订与合同实质性内容相背离的协议。</w:t>
            </w:r>
          </w:p>
          <w:p>
            <w:pPr>
              <w:pStyle w:val="null3"/>
              <w:ind w:firstLine="42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详见竞争性磋商文件，供应商如中标后，需重新提供与最终报价一致的已标价的广联达工程量清单。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供应商资格证明文件.pdf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供应商营业执照</w:t>
            </w:r>
          </w:p>
        </w:tc>
        <w:tc>
          <w:tcPr>
            <w:tcW w:type="dxa" w:w="3322"/>
          </w:tcPr>
          <w:p>
            <w:pPr>
              <w:pStyle w:val="null3"/>
            </w:pPr>
            <w:r>
              <w:rPr>
                <w:rFonts w:ascii="仿宋_GB2312" w:hAnsi="仿宋_GB2312" w:cs="仿宋_GB2312" w:eastAsia="仿宋_GB2312"/>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拟派项目经理和专业要求</w:t>
            </w:r>
          </w:p>
        </w:tc>
        <w:tc>
          <w:tcPr>
            <w:tcW w:type="dxa" w:w="3322"/>
          </w:tcPr>
          <w:p>
            <w:pPr>
              <w:pStyle w:val="null3"/>
            </w:pPr>
            <w:r>
              <w:rPr>
                <w:rFonts w:ascii="仿宋_GB2312" w:hAnsi="仿宋_GB2312" w:cs="仿宋_GB2312" w:eastAsia="仿宋_GB2312"/>
              </w:rPr>
              <w:t>拟派项目经理须具备建筑工程专业二级及以上注册建造师执业资格，有效的安全生产考核证书，在本单位注册且无在建项目。供应商需在项目电子化交易系统中按要求上传相应证明文件并进行电子签章。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健全的财务会计制度的证明材料</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信誉证明</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本项目专门针对中小企业采购，供应商应具有中小企业身份并提供相应的中小企业声明函。供应商需在项目电子化交易系统中按要求上传相应证明文件并进行电子签章。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供应商资格证明文件.pdf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供应商负责人为同一人或者存在控股、管理关系的不同单位，不得参加同一项目的投标</w:t>
            </w:r>
          </w:p>
        </w:tc>
        <w:tc>
          <w:tcPr>
            <w:tcW w:type="dxa" w:w="3322"/>
          </w:tcPr>
          <w:p>
            <w:pPr>
              <w:pStyle w:val="null3"/>
            </w:pPr>
            <w:r>
              <w:rPr>
                <w:rFonts w:ascii="仿宋_GB2312" w:hAnsi="仿宋_GB2312" w:cs="仿宋_GB2312" w:eastAsia="仿宋_GB2312"/>
              </w:rPr>
              <w:t>供应商负责人为同一人或者存在控股、管理关系的不同单位，不得参加同一项目的投标。供应商需在项目电子化交易系统中按要求上传相应证明文件并进行电子签章。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供应商资格证明文件.pdf 强制优先采购产品承诺函 响应文件封面 施工组织方案.docx 项目管理机构组成表 残疾人福利性单位声明函 报价函 授权委托书.pdf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供应商名称：与营业执照一致；响应函签字盖章：有法定代表人或其委托代理人签字或加盖单位章；响应文件格式：符合第七章“响应文件格式”的要求。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供应商资格证明文件.pdf 响应文件封面 施工组织方案.docx 项目管理机构组成表 残疾人福利性单位声明函 报价函 授权委托书.pdf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 xml:space="preserve"> 工期：自进场之日起50个日历日内竣工；工程质量：按国家及省市相关建设工程质量标准的规定，达到“合格”要求； 投标有效期：自提交响应文件的截止之日起90个日历日；已标价工程量清单：符合“工程量清单”给出的子目名称、计量单位、工程量、子目备注说明；投标价格：不得高于最高限价。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供应商资格证明文件.pdf 响应文件封面 施工组织方案.docx 项目管理机构组成表 残疾人福利性单位声明函 授权委托书.pdf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根据项目具体情况制定详细实施方案，包括但不限于：①本项目整体实施方案；②工程质量的保障技术组织措施；③进度计划的保障技术组织措施；④安全保障的技术组织措施；⑤文明施工的保障措施；⑥环境保护的保障技术组织措施。 评审标准: 方案各部分内容全面详细、阐述条理清晰详尽、符合本项目采购需求得每一项得 3 分，满分 18 分；评审内容每缺一项扣 3 分；评审内容有缺陷(缺陷是指:内容粗略、逻辑混乱、描述过于简单、与项目特点不匹配、凭空编造、逻辑漏洞、出现常识性错误、存在不适用项目实际情况的情形或只有标题没有实质性内容等)的扣 0.1-2.5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 针对本项目提供详细可行的服务保障措施方案包括但不限于：①服务质量承诺；②场地卫生服务保障；③避免扬尘措施。 评审标准: 方案各部分内容全面详细、阐述条理清晰详尽、符合本项目采购需求得每一项得 3 分，满分 9 分；评审内容每缺一项扣 3 分；评审内容有缺陷(缺陷是指:内容粗略、逻辑混乱、描述过于简单、与项目特点不匹配、凭空编造、逻辑漏洞、出现常识性错误、存在不适用项目实际情况的情形或只有标题没有实质性内容等)的扣 0.1-2.5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拟派人员配置情况</w:t>
            </w:r>
          </w:p>
        </w:tc>
        <w:tc>
          <w:tcPr>
            <w:tcW w:type="dxa" w:w="2492"/>
          </w:tcPr>
          <w:p>
            <w:pPr>
              <w:pStyle w:val="null3"/>
            </w:pPr>
            <w:r>
              <w:rPr>
                <w:rFonts w:ascii="仿宋_GB2312" w:hAnsi="仿宋_GB2312" w:cs="仿宋_GB2312" w:eastAsia="仿宋_GB2312"/>
              </w:rPr>
              <w:t>评审内容： ①根据拟投入的其他服务人员数量；②根据拟投入的其他人员年龄、专业经验、资格/职称等情况。 评审标准： 内容全面详细、阐述条理清晰详尽、符合本项目采购需求得每一项得 3 分，满分 6 分；评审内容每缺一项扣 3 分；评审内容有缺陷(缺陷是指:内容粗略、逻辑混乱、描述过于简单、与项目特点不匹配、凭空编造、逻辑漏洞、出现常识性错误、存在不适用项目实际情况的情形或只有标题没有实质性内容等)的扣 0.1-2.5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针对本项目应急预案</w:t>
            </w:r>
          </w:p>
        </w:tc>
        <w:tc>
          <w:tcPr>
            <w:tcW w:type="dxa" w:w="2492"/>
          </w:tcPr>
          <w:p>
            <w:pPr>
              <w:pStyle w:val="null3"/>
            </w:pPr>
            <w:r>
              <w:rPr>
                <w:rFonts w:ascii="仿宋_GB2312" w:hAnsi="仿宋_GB2312" w:cs="仿宋_GB2312" w:eastAsia="仿宋_GB2312"/>
              </w:rPr>
              <w:t>设置科学合理的应急预案制定周到、全面、具体的得 5 分； 应急预案制定不够全面、具体得 3 分； 应急预案制定不合理，可执行性差得 1 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评审内容： 针对本项目提供管理机构及制度，包括但不限于：①财务管理及制度；②现场施工管理及制度；③现场安全防范管理及制度；④防噪音扰民管理及制度等进行综合评审。 评审标准: 管理及制度各部分内容全面详细、阐述条理清晰详尽、符合本项目采购需求得每一项得 3 分，满分 12 分；评审内容每缺一项扣 3 分；评审内容有缺陷(缺陷是指:内容粗略、逻辑混乱、描述过于简单、与项目特点不匹配、凭空编造、逻辑漏洞、出现常识性错误、存在不适用项目实际情况的情形或只有标题没有实质性内容等)的扣 0.1-2.5未提供不得分。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主要施工机械、设备配备计划及劳动力</w:t>
            </w:r>
          </w:p>
        </w:tc>
        <w:tc>
          <w:tcPr>
            <w:tcW w:type="dxa" w:w="2492"/>
          </w:tcPr>
          <w:p>
            <w:pPr>
              <w:pStyle w:val="null3"/>
            </w:pPr>
            <w:r>
              <w:rPr>
                <w:rFonts w:ascii="仿宋_GB2312" w:hAnsi="仿宋_GB2312" w:cs="仿宋_GB2312" w:eastAsia="仿宋_GB2312"/>
              </w:rPr>
              <w:t>针对本项目提供的主要施工机械、设备及劳动力配备先进、合理可行得 4 分； 拟投入本项目的主要施工机械、设备及劳动力配备与项目实际情况基本匹配，较合理得 3 分； 拟投入本项目的主要施工机械、设备及劳动力配备与项目实际情况不匹配得 1 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供应商提供针对本项目工作重点、难点分析及解决方案， 对重点、难点分析准确，解决方案针对性强的计 5 分； 对重点、难点分析基本准确，解决方案有针对性的计 3 分； 对重点、难点分析与项目实际情况存在偏离，解决方案不 够实际的计 1 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建议内容科学可行，有针对性且内容丰富计 5 分； 建议内容基本可行，具有针对性计 3 分； 建议内容简单，不完整，部分具有针对性计 1 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业绩：提供2022年5月1日至今类似项目业绩，提供业绩中标通知书或合同，每提供一份计2分，最高得6分。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1、经初审合格的响应文件，其最终磋商报价为有效磋商报价。 2、综合评分法中的价格分统一采用低价优先法计算，即满足采购文件要求且最后报价最低的供应商报价为投标基准价，其价格分为满分。其他供应商的价格分统一按照下列公式计算： 磋商报价得分=（投标基准价/磋商报价）×价格权值（30%）×100，超出最高限价的报价为无效报价。 3、磋商报价不完整的，不进入评标标准价的计算，本项得0分。 4、磋商小组1/2以上成员认为某报价有低于成本价嫌疑的，为无效报价按废标处理。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详见附件：授权委托书.pdf</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