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326BF">
      <w:pPr>
        <w:rPr>
          <w:rFonts w:hint="eastAsia" w:ascii="宋体" w:hAnsi="宋体" w:cs="宋体"/>
          <w:b/>
          <w:bCs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标包1：WAF设备运维服务及技术支持</w:t>
      </w:r>
    </w:p>
    <w:p w14:paraId="740272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一、项目概况</w:t>
      </w:r>
    </w:p>
    <w:p w14:paraId="5418F6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为保障陕西省教育考试院的网站安全稳定运行，进一步完善</w:t>
      </w:r>
      <w:r>
        <w:rPr>
          <w:rFonts w:hint="eastAsia" w:ascii="宋体" w:hAnsi="宋体" w:eastAsia="宋体" w:cs="宋体"/>
          <w:kern w:val="0"/>
          <w:sz w:val="24"/>
          <w:szCs w:val="24"/>
        </w:rPr>
        <w:t>WEB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安全防护体系，针对网站承载着的政策发布、考试报名、准考证打印、成绩查询、志愿填报等关键业务，需构建更严密的网络安全防护机制。现拟引入具备专业资质的网络安全服务厂商，结合考试院业务特性与现有防护现状，针对性开展 WEB 安全防护工作。</w:t>
      </w:r>
      <w:r>
        <w:rPr>
          <w:rFonts w:hint="eastAsia" w:ascii="宋体" w:hAnsi="宋体" w:eastAsia="宋体" w:cs="宋体"/>
          <w:kern w:val="0"/>
          <w:sz w:val="24"/>
          <w:szCs w:val="24"/>
        </w:rPr>
        <w:t>通过专业安全设备的技术能力，帮助考试院建立全面的安全防护体系，进而实现更高效、更合规、更稳定的Web应用安全保障。</w:t>
      </w:r>
    </w:p>
    <w:p w14:paraId="08E8CE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二、采购清单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3"/>
        <w:gridCol w:w="2593"/>
        <w:gridCol w:w="1255"/>
        <w:gridCol w:w="1650"/>
        <w:gridCol w:w="1918"/>
      </w:tblGrid>
      <w:tr w14:paraId="1422D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pct"/>
            <w:noWrap w:val="0"/>
            <w:vAlign w:val="center"/>
          </w:tcPr>
          <w:p w14:paraId="5DFCD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521" w:type="pct"/>
            <w:noWrap w:val="0"/>
            <w:vAlign w:val="center"/>
          </w:tcPr>
          <w:p w14:paraId="473671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736" w:type="pct"/>
            <w:noWrap w:val="0"/>
            <w:vAlign w:val="center"/>
          </w:tcPr>
          <w:p w14:paraId="240AA0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968" w:type="pct"/>
            <w:noWrap w:val="0"/>
            <w:vAlign w:val="center"/>
          </w:tcPr>
          <w:p w14:paraId="7987C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1125" w:type="pct"/>
            <w:noWrap w:val="0"/>
            <w:vAlign w:val="center"/>
          </w:tcPr>
          <w:p w14:paraId="52B87E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租赁期限</w:t>
            </w:r>
          </w:p>
        </w:tc>
      </w:tr>
      <w:tr w14:paraId="50A9A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pct"/>
            <w:noWrap w:val="0"/>
            <w:vAlign w:val="center"/>
          </w:tcPr>
          <w:p w14:paraId="56BDEB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521" w:type="pct"/>
            <w:noWrap w:val="0"/>
            <w:vAlign w:val="center"/>
          </w:tcPr>
          <w:p w14:paraId="36754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Web应用防火墙</w:t>
            </w:r>
          </w:p>
        </w:tc>
        <w:tc>
          <w:tcPr>
            <w:tcW w:w="736" w:type="pct"/>
            <w:noWrap w:val="0"/>
            <w:vAlign w:val="center"/>
          </w:tcPr>
          <w:p w14:paraId="0186F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台</w:t>
            </w:r>
          </w:p>
        </w:tc>
        <w:tc>
          <w:tcPr>
            <w:tcW w:w="968" w:type="pct"/>
            <w:noWrap w:val="0"/>
            <w:vAlign w:val="center"/>
          </w:tcPr>
          <w:p w14:paraId="05E77E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125" w:type="pct"/>
            <w:noWrap w:val="0"/>
            <w:vAlign w:val="center"/>
          </w:tcPr>
          <w:p w14:paraId="29B7A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12个月</w:t>
            </w:r>
          </w:p>
        </w:tc>
      </w:tr>
    </w:tbl>
    <w:p w14:paraId="590C72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三、参数要求</w:t>
      </w:r>
    </w:p>
    <w:p w14:paraId="4CB24F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1、性能要求：HTTP应用层吞吐量≥10Gbps,HTTP最大新建数≥35000个,HTTP最大并发数≥2500000个 。</w:t>
      </w:r>
    </w:p>
    <w:p w14:paraId="004211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硬件要求：采用国产化芯片和操作系统，2U机架式设备，内存≥32G，硬盘≥2T，千兆电口≥6个，万兆光口≥4个，支持2对光口BYPASS，满配多模光模块。</w:t>
      </w:r>
    </w:p>
    <w:p w14:paraId="4C5F3A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3、支持透明串接、反向代理、旁路镜像、路由牵引、嵌入式部署等多种部署模式部署。支持链路聚合。</w:t>
      </w:r>
    </w:p>
    <w:p w14:paraId="28D34F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4、支持主备模式、主主模式、会话同步模式。</w:t>
      </w:r>
    </w:p>
    <w:p w14:paraId="228E5D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5、支持ipv4/ipv6双协议栈。可通过设置缓存加速、内容压缩、禁止服务器端压缩的方式进行web加速。</w:t>
      </w:r>
    </w:p>
    <w:p w14:paraId="5515E5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6、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支持HTTPS站点SSL算法自动探测功能。探测时可以设置指定站点及端口，可以显示探测结果。</w:t>
      </w:r>
    </w:p>
    <w:p w14:paraId="438179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7、内置Webshell检测规则，可以对上传的文件内容进行检查，防止恶意Webshell文件上传。</w:t>
      </w:r>
    </w:p>
    <w:p w14:paraId="0D8BEF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8、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支持客户端安全防护，能够通过WAF向服务器返回信息插入特殊的HTTP报头（包括X-Frame-Options、X-Content-Type-Options、Content-Security-Policy，以客户端免受相应攻击。</w:t>
      </w:r>
    </w:p>
    <w:p w14:paraId="7F6C42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9、支持自定义敏感词，防止提交政冶敏感、违反法规相关的言论信息，保障网站的内容健康呈现。</w:t>
      </w:r>
    </w:p>
    <w:p w14:paraId="6AF560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10、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可对至少20种检测字段进行自定义规则，可选择匹配检测字段值或匹配检测字段个数。</w:t>
      </w:r>
    </w:p>
    <w:p w14:paraId="77E13B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11、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支持自动发现网络环境中存在的Web服务器，包括HTTP业务、HTTPS业务。可记录服务器的IP、端口、协议、IP类型域名等信息。并且针对HTTP业务，可设置侦测后的自动部署，自动部署时，可选择防护模板、处理方式以及可选择开启阻断或观察模式。</w:t>
      </w:r>
    </w:p>
    <w:p w14:paraId="1F879E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12、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支持对CC攻击进行检测和防护，能够配置URL参数、请求头部字段、目的IP、请求方法、地理位置组成的匹配条件；能够对请求速率、请求集中度、请求离散度进行检测。</w:t>
      </w:r>
    </w:p>
    <w:p w14:paraId="2E41D5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13、支持一键日志收集，可在WEB界面通过点击一键收集，完成对设备后台关键信息和日志的收集，更便捷的进行问题定位。</w:t>
      </w:r>
    </w:p>
    <w:p w14:paraId="2C2E5C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14、支持定时报表。可选择内置报表模板或自定义报表模板，以日报/周报/月报的形式进行邮件发送。报表生成时间可进行选择，如每日0点，每周第一天，每月第一天等。</w:t>
      </w:r>
    </w:p>
    <w:p w14:paraId="0EB9CF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15、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Hans"/>
        </w:rPr>
        <w:t>▲</w:t>
      </w:r>
      <w:r>
        <w:rPr>
          <w:rFonts w:hint="eastAsia" w:ascii="宋体" w:hAnsi="宋体" w:eastAsia="宋体" w:cs="宋体"/>
          <w:kern w:val="0"/>
          <w:sz w:val="24"/>
          <w:szCs w:val="24"/>
        </w:rPr>
        <w:t>产品须具备有效期内的《网络关键设备和网络安全专用产品安全认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证证书》。</w:t>
      </w:r>
    </w:p>
    <w:p w14:paraId="5FA940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四、服务要求</w:t>
      </w:r>
    </w:p>
    <w:p w14:paraId="36C777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1、本项目涉及的全部设备均采用租赁模式，投标人需确保所提供设备为全新安全专用设备，设备质量需符合国家及行业相关安全标准，无质量瑕疵或性能隐患。</w:t>
      </w:r>
    </w:p>
    <w:p w14:paraId="7577B6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2、现场技术服务责任：投标人需派遣专业的售后服务工程师，定期对设备进行安全运维、策略调优等。</w:t>
      </w:r>
    </w:p>
    <w:p w14:paraId="2E22F1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3、资料交付要求：投标人需在设备交付后30个工作日内，向甲方提供所有安全产品的完整资料，包括但不限于官方用户操作手册（含电子版及纸质版）、产品技术白皮书等，资料内容需准确、详尽，满足甲方日常运维及管理需求。</w:t>
      </w:r>
    </w:p>
    <w:p w14:paraId="289821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4、租赁期限约定：本项目设备租赁期限自甲乙双方正式签订租赁合同之日起计算，总时长为12个月；租赁期满前，双方可根据项目需求另行协商续约或设备归还事宜。</w:t>
      </w:r>
    </w:p>
    <w:p w14:paraId="677D13B0">
      <w:pPr>
        <w:rPr>
          <w:rFonts w:hint="eastAsia" w:ascii="宋体" w:hAnsi="宋体" w:cs="宋体"/>
          <w:kern w:val="0"/>
          <w:sz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kern w:val="0"/>
          <w:sz w:val="24"/>
          <w:highlight w:val="none"/>
          <w:shd w:val="clear" w:color="auto" w:fill="FFFFFF"/>
          <w:lang w:val="en-US" w:eastAsia="zh-CN" w:bidi="ar"/>
        </w:rPr>
        <w:br w:type="page"/>
      </w:r>
      <w:r>
        <w:rPr>
          <w:rFonts w:hint="eastAsia" w:ascii="宋体" w:hAnsi="宋体" w:cs="宋体"/>
          <w:b/>
          <w:bCs/>
          <w:kern w:val="0"/>
          <w:sz w:val="24"/>
          <w:highlight w:val="none"/>
          <w:shd w:val="clear" w:color="auto" w:fill="FFFFFF"/>
          <w:lang w:val="en-US" w:eastAsia="zh-CN" w:bidi="ar"/>
        </w:rPr>
        <w:t>标包2：应用安全防护云服务</w:t>
      </w:r>
    </w:p>
    <w:p w14:paraId="221708D3">
      <w:pPr>
        <w:rPr>
          <w:rFonts w:hint="eastAsia" w:ascii="宋体" w:hAnsi="宋体" w:cs="宋体"/>
          <w:b/>
          <w:bCs/>
          <w:kern w:val="0"/>
          <w:sz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b/>
          <w:bCs/>
          <w:sz w:val="24"/>
        </w:rPr>
        <w:t>WEB安全防护</w:t>
      </w:r>
    </w:p>
    <w:tbl>
      <w:tblPr>
        <w:tblStyle w:val="2"/>
        <w:tblW w:w="499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564"/>
        <w:gridCol w:w="5357"/>
        <w:gridCol w:w="932"/>
      </w:tblGrid>
      <w:tr w14:paraId="12F70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 w14:paraId="6AAC6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  <w:t>产品名称</w:t>
            </w:r>
          </w:p>
        </w:tc>
        <w:tc>
          <w:tcPr>
            <w:tcW w:w="9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13B55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  <w:t>功能项</w:t>
            </w:r>
          </w:p>
        </w:tc>
        <w:tc>
          <w:tcPr>
            <w:tcW w:w="3145" w:type="pct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000000" w:fill="FFFFFF"/>
            <w:noWrap w:val="0"/>
            <w:vAlign w:val="center"/>
          </w:tcPr>
          <w:p w14:paraId="1FBB1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  <w:t>功能说明</w:t>
            </w:r>
          </w:p>
        </w:tc>
        <w:tc>
          <w:tcPr>
            <w:tcW w:w="5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5F273A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bidi="ar"/>
              </w:rPr>
              <w:t>功能内容</w:t>
            </w:r>
          </w:p>
        </w:tc>
      </w:tr>
      <w:tr w14:paraId="64E922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A338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云防护</w:t>
            </w:r>
          </w:p>
        </w:tc>
        <w:tc>
          <w:tcPr>
            <w:tcW w:w="918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176D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智能DNS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0192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可提供DNS域名解析</w:t>
            </w:r>
          </w:p>
        </w:tc>
        <w:tc>
          <w:tcPr>
            <w:tcW w:w="547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125A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NS和cname</w:t>
            </w:r>
          </w:p>
        </w:tc>
      </w:tr>
      <w:tr w14:paraId="5C417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82D61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D0BB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web防火墙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70A56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可防护SQL注入、命令注入、跨站脚本、文件包含、信息探测等常见攻击,防止网站因为漏洞导致被篡改，被拖库，被入侵。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BBB0B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48254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3DB2D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0BAEF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防火墙策略集控制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4D4B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支持子防护策略集打开关闭；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子防护策略集如下：政企专用防护策略集，扫描器/爬虫防御策略集，异常HTTP请求防御策略集，SQL注入防护策略，POST请求SQL注入防护策略，Webshell防护策略，XSS防护策略，POST请求XSS防护策略，命令/代码执行防护策略，文件包含/注入防护策略，特殊/其他攻击防护策略。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4E178C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1B58EE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2D3E8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8995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防护策略屏蔽时间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9813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可以设置防火墙策略拦截的IP的屏蔽时间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F007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自定义</w:t>
            </w:r>
          </w:p>
        </w:tc>
      </w:tr>
      <w:tr w14:paraId="683050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21611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167F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防火墙策略白名单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1B79F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对指定的Web防火墙策略不进行拦截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76F91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100条</w:t>
            </w:r>
          </w:p>
        </w:tc>
      </w:tr>
      <w:tr w14:paraId="58928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61CF42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0D6DF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智能攻击防御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05190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可精准识别多种自动化扫描和攻击软件，深度解析编码过的、畸形的恶意代码，并阻断其请求，减少90%以上的恶意攻击。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40CB42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7A3CF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A7182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75F7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WebShell防护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5D1E2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可防止黑客上传、访问WebShell（网站后门）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1E1A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32DF16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32A6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08444E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协同防御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35EE77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防护平台整体防御体系，全网拦截任何攻击过防护体系的攻击者IP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FA375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7CBAB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9064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6155E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境外访问控制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1A5C0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限制境外IP进行访问。由于攻击者大量使用国外跳板进行攻击，开启本功能可极大减少此类威胁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43CA8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0A7EEA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E00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1A48CB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后台锁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26047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禁止非授权IP访问网站后台管理地址或重要页面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91A20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60条</w:t>
            </w:r>
          </w:p>
        </w:tc>
      </w:tr>
      <w:tr w14:paraId="7A1DF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8625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46AA3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防黑锁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0B90EB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锁定页面关键资源（如Banner图片、LOGO图片），避免关键资源受篡改而影响页面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1FBE2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10条</w:t>
            </w:r>
          </w:p>
        </w:tc>
      </w:tr>
      <w:tr w14:paraId="21C17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436F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2B14E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在线锁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6CC091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确保网站永久在线，发现页面不可访问可立即恢复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EB51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394DFA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9F52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38CF89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裤带锁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2A8FC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防止黑客进行“撞库”攻击，保护网站敏感数据不被泄露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8E33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60E01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E23C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569E5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防盗链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 w:val="0"/>
            <w:vAlign w:val="center"/>
          </w:tcPr>
          <w:p w14:paraId="02EA6B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保护网站图片、压缩包等资源文件不被其它站点盗用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668D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50条</w:t>
            </w:r>
          </w:p>
        </w:tc>
      </w:tr>
      <w:tr w14:paraId="1B92B3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99C3E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000000" w:fill="FFFFFF"/>
            <w:noWrap w:val="0"/>
            <w:vAlign w:val="center"/>
          </w:tcPr>
          <w:p w14:paraId="5E994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夜间模式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000000" w:fill="FFFFFF"/>
            <w:noWrap w:val="0"/>
            <w:vAlign w:val="center"/>
          </w:tcPr>
          <w:p w14:paraId="2AA93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针对夜间网站更新频率较低、黑客攻击比较频繁的情况，设置夜间模式，可提高防护等级，大幅降低网站被黑可能性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4F0AF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04B9C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28EF2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E7DF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URL黑白名单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2145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不经过防护的URL地址（URL白名单）、不允许访问的URL地址（URL黑名单）</w:t>
            </w:r>
          </w:p>
        </w:tc>
        <w:tc>
          <w:tcPr>
            <w:tcW w:w="547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C668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各100条</w:t>
            </w:r>
          </w:p>
        </w:tc>
      </w:tr>
      <w:tr w14:paraId="4019D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3824CD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A68F0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IP地址黑白名单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7A63AC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可设置不进行防护的IP地址（IP白名单）、不允许访问的IP地址（IP黑名单）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49AE6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各100条</w:t>
            </w:r>
          </w:p>
        </w:tc>
      </w:tr>
      <w:tr w14:paraId="2B6F3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94CD3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552B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网站概况显示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1F1BD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提供网站访问情况信息展示，包括请求数、总流量、网站浏览人数，搜索引擎引导量，遭受攻击次数等，并能按照时间来统计的网站访问量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425B9F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6B48A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284A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9EB9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安全报告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3E395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查看网站安全状况，包括各种攻击发生次数，攻击IP、来源（国家）等；可显示对网站的安全评级，如安全、危险等等，可显示历史攻击次数等；可显示CC攻击详细情况；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可显示攻击情况，包括时间、攻击URL，攻击者IP及归属地，攻击类型等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提供一年内自定义报表功能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FA80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1FDD0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F7A6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center"/>
          </w:tcPr>
          <w:p w14:paraId="5AD9BD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实时攻击显示</w:t>
            </w:r>
          </w:p>
        </w:tc>
        <w:tc>
          <w:tcPr>
            <w:tcW w:w="3145" w:type="pc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0B6C9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提供实时攻击视图，在视图中实时显示攻击源IP，国家，目标域名，目标所在地等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center"/>
          </w:tcPr>
          <w:p w14:paraId="776AA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636E9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E5F22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2FE3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攻击预警</w:t>
            </w:r>
          </w:p>
        </w:tc>
        <w:tc>
          <w:tcPr>
            <w:tcW w:w="3145" w:type="pct"/>
            <w:tcBorders>
              <w:top w:val="single" w:color="auto" w:sz="4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 w14:paraId="5711D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提供按照攻击阈值设定攻击预警功能</w:t>
            </w:r>
          </w:p>
        </w:tc>
        <w:tc>
          <w:tcPr>
            <w:tcW w:w="547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DFCC3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6171C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73A9FD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D56E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报表下载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715AB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默认支持当日、前一天、最近30天和最近一年的报表统计下载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4CB7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7812D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28DC3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47D8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日志下载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CE70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提供最近7天内的攻击和访问日志自助下载服务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7DBA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38102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86347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8E1BF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一键关停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C6FF5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提供一键关停网站服务功能，用户需要事先在防护平台上认证手机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14C8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3EAD7C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2B586C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289A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共享SSL证书节点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70DAB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提供共享证书节点（sni方式，低版本浏览器会有告警）SSL证书自助上传功能（pem格式，含证书和私钥）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F004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</w:t>
            </w:r>
          </w:p>
        </w:tc>
      </w:tr>
      <w:tr w14:paraId="579E07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9" w:type="pct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8D1B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18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7836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子域名</w:t>
            </w:r>
          </w:p>
        </w:tc>
        <w:tc>
          <w:tcPr>
            <w:tcW w:w="3145" w:type="pct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07515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支持子域名数量</w:t>
            </w:r>
          </w:p>
        </w:tc>
        <w:tc>
          <w:tcPr>
            <w:tcW w:w="547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3B2D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10个子域名</w:t>
            </w:r>
          </w:p>
        </w:tc>
      </w:tr>
    </w:tbl>
    <w:p w14:paraId="48ECE290">
      <w:pPr>
        <w:spacing w:line="360" w:lineRule="auto"/>
        <w:rPr>
          <w:rFonts w:hint="eastAsia" w:ascii="宋体" w:hAnsi="宋体" w:cs="宋体"/>
          <w:b/>
          <w:bCs/>
          <w:sz w:val="24"/>
          <w:lang w:eastAsia="zh-Hans"/>
        </w:rPr>
      </w:pPr>
      <w:r>
        <w:rPr>
          <w:rFonts w:hint="eastAsia" w:ascii="宋体" w:hAnsi="宋体" w:cs="宋体"/>
          <w:b/>
          <w:bCs/>
          <w:sz w:val="24"/>
          <w:lang w:eastAsia="zh-Hans"/>
        </w:rPr>
        <w:t>IPV6安全改造服务</w:t>
      </w: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8"/>
        <w:gridCol w:w="5233"/>
        <w:gridCol w:w="1101"/>
      </w:tblGrid>
      <w:tr w14:paraId="6415A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3"/>
            <w:noWrap w:val="0"/>
            <w:vAlign w:val="center"/>
          </w:tcPr>
          <w:p w14:paraId="1BDF2B5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IPv6安全改造服务内容</w:t>
            </w:r>
          </w:p>
        </w:tc>
      </w:tr>
      <w:tr w14:paraId="006B1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84" w:type="pct"/>
            <w:noWrap w:val="0"/>
            <w:vAlign w:val="center"/>
          </w:tcPr>
          <w:p w14:paraId="62A7C77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模块</w:t>
            </w:r>
          </w:p>
        </w:tc>
        <w:tc>
          <w:tcPr>
            <w:tcW w:w="3070" w:type="pct"/>
            <w:noWrap w:val="0"/>
            <w:vAlign w:val="center"/>
          </w:tcPr>
          <w:p w14:paraId="7A9122B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服务说明</w:t>
            </w:r>
          </w:p>
        </w:tc>
        <w:tc>
          <w:tcPr>
            <w:tcW w:w="645" w:type="pct"/>
            <w:noWrap w:val="0"/>
            <w:vAlign w:val="center"/>
          </w:tcPr>
          <w:p w14:paraId="49A951C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服务内容</w:t>
            </w:r>
          </w:p>
        </w:tc>
      </w:tr>
      <w:tr w14:paraId="28E81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84" w:type="pct"/>
            <w:noWrap w:val="0"/>
            <w:vAlign w:val="center"/>
          </w:tcPr>
          <w:p w14:paraId="20FA28D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IPv6 DNS</w:t>
            </w:r>
          </w:p>
        </w:tc>
        <w:tc>
          <w:tcPr>
            <w:tcW w:w="3070" w:type="pct"/>
            <w:noWrap w:val="0"/>
            <w:vAlign w:val="center"/>
          </w:tcPr>
          <w:p w14:paraId="54E4EEE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IPv6 DNS解析服务</w:t>
            </w:r>
          </w:p>
        </w:tc>
        <w:tc>
          <w:tcPr>
            <w:tcW w:w="645" w:type="pct"/>
            <w:noWrap w:val="0"/>
            <w:vAlign w:val="center"/>
          </w:tcPr>
          <w:p w14:paraId="0E6C5D4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</w:t>
            </w:r>
          </w:p>
        </w:tc>
      </w:tr>
      <w:tr w14:paraId="02CF1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84" w:type="pct"/>
            <w:noWrap w:val="0"/>
            <w:vAlign w:val="center"/>
          </w:tcPr>
          <w:p w14:paraId="14FEC6F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IPv6/IPv4双向转换</w:t>
            </w:r>
          </w:p>
        </w:tc>
        <w:tc>
          <w:tcPr>
            <w:tcW w:w="3070" w:type="pct"/>
            <w:noWrap w:val="0"/>
            <w:vAlign w:val="center"/>
          </w:tcPr>
          <w:p w14:paraId="3BA36E4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将访客的IPv6请求转换为IPv4请求，将源站返回的IPv4内容转换为IPv6内容</w:t>
            </w:r>
          </w:p>
        </w:tc>
        <w:tc>
          <w:tcPr>
            <w:tcW w:w="645" w:type="pct"/>
            <w:noWrap w:val="0"/>
            <w:vAlign w:val="center"/>
          </w:tcPr>
          <w:p w14:paraId="271944A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</w:t>
            </w:r>
          </w:p>
        </w:tc>
      </w:tr>
      <w:tr w14:paraId="53C26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84" w:type="pct"/>
            <w:noWrap w:val="0"/>
            <w:vAlign w:val="center"/>
          </w:tcPr>
          <w:p w14:paraId="6D7592C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IPv6访问加速</w:t>
            </w:r>
          </w:p>
        </w:tc>
        <w:tc>
          <w:tcPr>
            <w:tcW w:w="3070" w:type="pct"/>
            <w:noWrap w:val="0"/>
            <w:vAlign w:val="center"/>
          </w:tcPr>
          <w:p w14:paraId="5727189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在IPv6网络环境下对网站资源进行缓存、压缩（CDN）。</w:t>
            </w:r>
          </w:p>
        </w:tc>
        <w:tc>
          <w:tcPr>
            <w:tcW w:w="645" w:type="pct"/>
            <w:noWrap w:val="0"/>
            <w:vAlign w:val="center"/>
          </w:tcPr>
          <w:p w14:paraId="1B8E489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</w:t>
            </w:r>
          </w:p>
        </w:tc>
      </w:tr>
      <w:tr w14:paraId="03C99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84" w:type="pct"/>
            <w:noWrap w:val="0"/>
            <w:vAlign w:val="center"/>
          </w:tcPr>
          <w:p w14:paraId="544DFFB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IPv6安全防护</w:t>
            </w:r>
          </w:p>
        </w:tc>
        <w:tc>
          <w:tcPr>
            <w:tcW w:w="3070" w:type="pct"/>
            <w:noWrap w:val="0"/>
            <w:vAlign w:val="center"/>
          </w:tcPr>
          <w:p w14:paraId="1548FC9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在IPv6网络环境下为网站提供Web应用防火墙，抵御常见Web漏洞攻击</w:t>
            </w:r>
          </w:p>
        </w:tc>
        <w:tc>
          <w:tcPr>
            <w:tcW w:w="645" w:type="pct"/>
            <w:noWrap w:val="0"/>
            <w:vAlign w:val="center"/>
          </w:tcPr>
          <w:p w14:paraId="3E90143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</w:t>
            </w:r>
          </w:p>
        </w:tc>
      </w:tr>
      <w:tr w14:paraId="412D3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84" w:type="pct"/>
            <w:noWrap w:val="0"/>
            <w:vAlign w:val="center"/>
          </w:tcPr>
          <w:p w14:paraId="58291CC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IPv6天窗修复</w:t>
            </w:r>
          </w:p>
        </w:tc>
        <w:tc>
          <w:tcPr>
            <w:tcW w:w="3070" w:type="pct"/>
            <w:noWrap w:val="0"/>
            <w:vAlign w:val="center"/>
          </w:tcPr>
          <w:p w14:paraId="0D2ED7A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无感知解决IPv6天窗问题</w:t>
            </w:r>
          </w:p>
        </w:tc>
        <w:tc>
          <w:tcPr>
            <w:tcW w:w="645" w:type="pct"/>
            <w:noWrap w:val="0"/>
            <w:vAlign w:val="center"/>
          </w:tcPr>
          <w:p w14:paraId="3D1C138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</w:t>
            </w:r>
          </w:p>
        </w:tc>
      </w:tr>
    </w:tbl>
    <w:p w14:paraId="2730596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</w:p>
    <w:p w14:paraId="50D4E3F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AF79DC"/>
    <w:rsid w:val="31A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</w:rPr>
  </w:style>
  <w:style w:type="paragraph" w:customStyle="1" w:styleId="6">
    <w:name w:val="KS表格"/>
    <w:basedOn w:val="1"/>
    <w:qFormat/>
    <w:uiPriority w:val="99"/>
    <w:pPr>
      <w:spacing w:beforeLines="0" w:afterLines="0" w:line="300" w:lineRule="auto"/>
      <w:ind w:firstLine="0" w:firstLineChars="0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2026-09-20T02:11:00Z</dcterms:created>
  <dc:creator>833</dc:creator>
  <cp:lastModifiedBy>833</cp:lastModifiedBy>
  <dcterms:modified xsi:type="dcterms:W3CDTF">2026-09-20T03:04:32Z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6F28306553C54A62ADBED4797900AC13_11</vt:lpwstr>
  </property>
  <property fmtid="{D5CDD505-2E9C-101B-9397-08002B2CF9AE}" pid="4" name="KSOTemplateDocerSaveRecord">
    <vt:lpwstr>eyJoZGlkIjoiNTI1OGU5NzEwNjlmOTA0NzYwMTIyZGJlNThjMzMxOGYiLCJ1c2VySWQiOiI0NTE5NDQwNTQifQ==</vt:lpwstr>
  </property>
</Properties>
</file>