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版本号：0617-2624FZ183820260810001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64排CT维保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0617-2624FZ1838</w:t>
      </w:r>
      <w:r>
        <w:br/>
      </w:r>
      <w:r>
        <w:br/>
      </w:r>
      <w:r>
        <w:br/>
      </w:r>
    </w:p>
    <w:p>
      <w:pPr>
        <w:pStyle w:val="null3"/>
        <w:jc w:val="center"/>
        <w:outlineLvl w:val="2"/>
      </w:pPr>
      <w:r>
        <w:rPr>
          <w:rFonts w:ascii="仿宋_GB2312" w:hAnsi="仿宋_GB2312" w:cs="仿宋_GB2312" w:eastAsia="仿宋_GB2312"/>
          <w:sz w:val="28"/>
          <w:b/>
        </w:rPr>
        <w:t>咸阳市中心医院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咸阳市中心医院</w:t>
      </w:r>
      <w:r>
        <w:rPr>
          <w:rFonts w:ascii="仿宋_GB2312" w:hAnsi="仿宋_GB2312" w:cs="仿宋_GB2312" w:eastAsia="仿宋_GB2312"/>
        </w:rPr>
        <w:t>委托，拟对</w:t>
      </w:r>
      <w:r>
        <w:rPr>
          <w:rFonts w:ascii="仿宋_GB2312" w:hAnsi="仿宋_GB2312" w:cs="仿宋_GB2312" w:eastAsia="仿宋_GB2312"/>
        </w:rPr>
        <w:t>64排CT维保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0617-2624FZ1838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64排CT维保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咸阳市中心医院64排CT维保服务项目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采购包1（64排CT维保服务）：属于专门面向中小企业采购。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1、法定代表人授权委托书：法定代表人参加磋商响应的，须出示法定代表人身份证明及法定代表人身份证复印件；法定代表人授权他人参加磋商响应的，须提供法定代表人授权委托书及被授权人身份证复印件。</w:t>
      </w:r>
    </w:p>
    <w:p>
      <w:pPr>
        <w:pStyle w:val="null3"/>
      </w:pPr>
      <w:r>
        <w:rPr>
          <w:rFonts w:ascii="仿宋_GB2312" w:hAnsi="仿宋_GB2312" w:cs="仿宋_GB2312" w:eastAsia="仿宋_GB2312"/>
        </w:rPr>
        <w:t>2、信用查询：供应商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w:t>
      </w:r>
    </w:p>
    <w:p>
      <w:pPr>
        <w:pStyle w:val="null3"/>
      </w:pPr>
      <w:r>
        <w:rPr>
          <w:rFonts w:ascii="仿宋_GB2312" w:hAnsi="仿宋_GB2312" w:cs="仿宋_GB2312" w:eastAsia="仿宋_GB2312"/>
        </w:rPr>
        <w:t>3、本项目不接受由咸阳市中心医院职工及其亲属投资举办的企业参加磋商响应：本项目不接受由咸阳市中心医院职工及其亲属投资举办的企业参加磋商响应（提供承诺函）。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咸阳市中心医院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咸阳市人民东路78号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029-33287237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王崇博、周小方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代理服务费收费标准：1.确定中标人后3日内，由中标人向采购代理机构一次付清采购代理服务费。 2.采购代理服务费的金额按照原国家发展计划委员会计价格[2002]1980号文件、《国家发展和改革委员会办公厅关于招标代理服务收费有关问题的通知》（发改办价格〔2003〕857号）的规定及咸阳市中心医院规定执行： 中标金额＜100万元 按照标准下浮30%收取； 100万元≤中标金额＜200万元 按照标准下浮35%收取； 200万元≤中标金额＜500万元 按照标准下浮40%收取； 500万元≤中标金额＜1000万元 按照标准下浮45%收取； 中标金额≥1000万元 按照标准下浮50%收取。 3.银行信息: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咸阳市中心医院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咸阳市中心医院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咸阳市中心医院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联系人：西北招标公司监督处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咸阳市中心医院64排CT维保服务项目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咸阳市中心医院64排CT维保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标的名称：咸阳市中心医院64排CT维保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一、维保设备型号</w:t>
            </w:r>
            <w:r>
              <w:rPr>
                <w:rFonts w:ascii="仿宋_GB2312" w:hAnsi="仿宋_GB2312" w:cs="仿宋_GB2312" w:eastAsia="仿宋_GB2312"/>
                <w:sz w:val="24"/>
                <w:b/>
              </w:rPr>
              <w:t>:</w:t>
            </w:r>
            <w:r>
              <w:rPr>
                <w:rFonts w:ascii="仿宋_GB2312" w:hAnsi="仿宋_GB2312" w:cs="仿宋_GB2312" w:eastAsia="仿宋_GB2312"/>
                <w:sz w:val="24"/>
              </w:rPr>
              <w:t>飞利浦</w:t>
            </w:r>
            <w:r>
              <w:rPr>
                <w:rFonts w:ascii="仿宋_GB2312" w:hAnsi="仿宋_GB2312" w:cs="仿宋_GB2312" w:eastAsia="仿宋_GB2312"/>
                <w:sz w:val="24"/>
              </w:rPr>
              <w:t>Brilliance 64 CT</w:t>
            </w:r>
          </w:p>
          <w:p>
            <w:pPr>
              <w:pStyle w:val="null3"/>
              <w:jc w:val="both"/>
            </w:pPr>
            <w:r>
              <w:rPr>
                <w:rFonts w:ascii="仿宋_GB2312" w:hAnsi="仿宋_GB2312" w:cs="仿宋_GB2312" w:eastAsia="仿宋_GB2312"/>
                <w:sz w:val="24"/>
                <w:b/>
              </w:rPr>
              <w:t>二、维保内容：全包，</w:t>
            </w:r>
            <w:r>
              <w:rPr>
                <w:rFonts w:ascii="仿宋_GB2312" w:hAnsi="仿宋_GB2312" w:cs="仿宋_GB2312" w:eastAsia="仿宋_GB2312"/>
                <w:sz w:val="24"/>
              </w:rPr>
              <w:t>提供整机所有硬件及软件的维修更换和升级（含球管、探测器、工作站及外设）。</w:t>
            </w:r>
          </w:p>
          <w:p>
            <w:pPr>
              <w:pStyle w:val="null3"/>
              <w:jc w:val="both"/>
            </w:pPr>
            <w:r>
              <w:rPr>
                <w:rFonts w:ascii="仿宋_GB2312" w:hAnsi="仿宋_GB2312" w:cs="仿宋_GB2312" w:eastAsia="仿宋_GB2312"/>
                <w:sz w:val="24"/>
                <w:b/>
              </w:rPr>
              <w:t>三、维保责任及服务要求</w:t>
            </w:r>
          </w:p>
          <w:p>
            <w:pPr>
              <w:pStyle w:val="null3"/>
              <w:jc w:val="both"/>
            </w:pPr>
            <w:r>
              <w:rPr>
                <w:rFonts w:ascii="仿宋_GB2312" w:hAnsi="仿宋_GB2312" w:cs="仿宋_GB2312" w:eastAsia="仿宋_GB2312"/>
                <w:sz w:val="24"/>
                <w:b/>
              </w:rPr>
              <w:t>四、维保要求</w:t>
            </w:r>
          </w:p>
          <w:p>
            <w:pPr>
              <w:pStyle w:val="null3"/>
              <w:jc w:val="both"/>
            </w:pPr>
            <w:r>
              <w:rPr>
                <w:rFonts w:ascii="仿宋_GB2312" w:hAnsi="仿宋_GB2312" w:cs="仿宋_GB2312" w:eastAsia="仿宋_GB2312"/>
                <w:sz w:val="24"/>
              </w:rPr>
              <w:t>1、提供突发性问题的解决措施及特殊紧急的合理化处理措施。</w:t>
            </w:r>
          </w:p>
          <w:p>
            <w:pPr>
              <w:pStyle w:val="null3"/>
              <w:jc w:val="both"/>
            </w:pPr>
            <w:r>
              <w:rPr>
                <w:rFonts w:ascii="仿宋_GB2312" w:hAnsi="仿宋_GB2312" w:cs="仿宋_GB2312" w:eastAsia="仿宋_GB2312"/>
                <w:sz w:val="24"/>
              </w:rPr>
              <w:t>2、服务时间：服务期内全天24小时不限次服务，电话响应时间≤0.5小时；电话工程师到场时间≤2小时；普通零配件到达现场时间≤24小时，重大型配件到达现场时间≤48小时；</w:t>
            </w:r>
          </w:p>
          <w:p>
            <w:pPr>
              <w:pStyle w:val="null3"/>
              <w:jc w:val="both"/>
            </w:pPr>
            <w:r>
              <w:rPr>
                <w:rFonts w:ascii="仿宋_GB2312" w:hAnsi="仿宋_GB2312" w:cs="仿宋_GB2312" w:eastAsia="仿宋_GB2312"/>
                <w:sz w:val="24"/>
              </w:rPr>
              <w:t>3、设备故障报修：不限次数人工上门服务。</w:t>
            </w:r>
          </w:p>
          <w:p>
            <w:pPr>
              <w:pStyle w:val="null3"/>
              <w:jc w:val="both"/>
            </w:pPr>
            <w:r>
              <w:rPr>
                <w:rFonts w:ascii="仿宋_GB2312" w:hAnsi="仿宋_GB2312" w:cs="仿宋_GB2312" w:eastAsia="仿宋_GB2312"/>
                <w:sz w:val="24"/>
              </w:rPr>
              <w:t>★4、开机率保证：必须保证设备开机率达到97%以上（按每年365天计算）。停机不超过10天/年。停机每超出1个工作日，合同期限自动延长5个工作日。（提供承诺函，格式自拟）</w:t>
            </w:r>
          </w:p>
          <w:p>
            <w:pPr>
              <w:pStyle w:val="null3"/>
              <w:jc w:val="both"/>
            </w:pPr>
            <w:r>
              <w:rPr>
                <w:rFonts w:ascii="仿宋_GB2312" w:hAnsi="仿宋_GB2312" w:cs="仿宋_GB2312" w:eastAsia="仿宋_GB2312"/>
                <w:sz w:val="24"/>
              </w:rPr>
              <w:t>5、定期维护、保养、调校服务：每年≥4次常规保养服务；此项定期维护服务应间隔进行。</w:t>
            </w:r>
          </w:p>
          <w:p>
            <w:pPr>
              <w:pStyle w:val="null3"/>
              <w:jc w:val="both"/>
            </w:pPr>
            <w:r>
              <w:rPr>
                <w:rFonts w:ascii="仿宋_GB2312" w:hAnsi="仿宋_GB2312" w:cs="仿宋_GB2312" w:eastAsia="仿宋_GB2312"/>
                <w:sz w:val="24"/>
              </w:rPr>
              <w:t>6、设备安全检查及质量保证服务，保证维保设备的质量达到科室的诊治要求。协助设备质检服务，并保证取得质检合格报告。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供应商承诺：提供的备件是与原设备型号一致的原厂备件，安装完毕后达到原厂公司设备运行标准。并在签订合同时提供合法合规的主要备件的采购方案及证明文件（如：进口证明文件、与设备生产厂家签订的供货合同等），（提供承诺函）。</w:t>
            </w:r>
          </w:p>
          <w:p>
            <w:pPr>
              <w:pStyle w:val="null3"/>
              <w:jc w:val="both"/>
            </w:pPr>
            <w:r>
              <w:rPr>
                <w:rFonts w:ascii="仿宋_GB2312" w:hAnsi="仿宋_GB2312" w:cs="仿宋_GB2312" w:eastAsia="仿宋_GB2312"/>
                <w:sz w:val="24"/>
              </w:rPr>
              <w:t>8、远程故障预警提示服务。</w:t>
            </w:r>
          </w:p>
          <w:p>
            <w:pPr>
              <w:pStyle w:val="null3"/>
              <w:jc w:val="both"/>
            </w:pPr>
            <w:r>
              <w:rPr>
                <w:rFonts w:ascii="仿宋_GB2312" w:hAnsi="仿宋_GB2312" w:cs="仿宋_GB2312" w:eastAsia="仿宋_GB2312"/>
                <w:sz w:val="24"/>
              </w:rPr>
              <w:t>9、投标人需提供有效期内的ISO9001和ISO13485医疗器械质量管理体系认证，且证书内容覆盖“资质范围内设备的销售和维保”。需通过ISO27001信息安全管理体系认证，并提供认证证书。</w:t>
            </w:r>
          </w:p>
          <w:p>
            <w:pPr>
              <w:pStyle w:val="null3"/>
              <w:jc w:val="both"/>
            </w:pPr>
            <w:r>
              <w:rPr>
                <w:rFonts w:ascii="仿宋_GB2312" w:hAnsi="仿宋_GB2312" w:cs="仿宋_GB2312" w:eastAsia="仿宋_GB2312"/>
                <w:sz w:val="24"/>
                <w:b/>
              </w:rPr>
              <w:t>五、服务费用范围</w:t>
            </w:r>
          </w:p>
          <w:p>
            <w:pPr>
              <w:pStyle w:val="null3"/>
              <w:ind w:firstLine="480"/>
              <w:jc w:val="both"/>
            </w:pPr>
            <w:r>
              <w:rPr>
                <w:rFonts w:ascii="仿宋_GB2312" w:hAnsi="仿宋_GB2312" w:cs="仿宋_GB2312" w:eastAsia="仿宋_GB2312"/>
                <w:sz w:val="24"/>
              </w:rPr>
              <w:t>供应商总报价包含项目维保期间发生的所有费用。</w:t>
            </w:r>
          </w:p>
          <w:p>
            <w:pPr>
              <w:pStyle w:val="null3"/>
              <w:jc w:val="both"/>
            </w:pPr>
            <w:r>
              <w:rPr>
                <w:rFonts w:ascii="仿宋_GB2312" w:hAnsi="仿宋_GB2312" w:cs="仿宋_GB2312" w:eastAsia="仿宋_GB2312"/>
                <w:sz w:val="24"/>
                <w:b/>
              </w:rPr>
              <w:t>五、备件要求</w:t>
            </w:r>
          </w:p>
          <w:p>
            <w:pPr>
              <w:pStyle w:val="null3"/>
              <w:ind w:firstLine="480"/>
              <w:jc w:val="both"/>
            </w:pPr>
            <w:r>
              <w:rPr>
                <w:rFonts w:ascii="仿宋_GB2312" w:hAnsi="仿宋_GB2312" w:cs="仿宋_GB2312" w:eastAsia="仿宋_GB2312"/>
                <w:sz w:val="24"/>
              </w:rPr>
              <w:t>所更换的备件为原厂原装新备件，安装完成后达到设备安全运行标准及临床要求。</w:t>
            </w:r>
          </w:p>
          <w:p>
            <w:pPr>
              <w:pStyle w:val="null3"/>
              <w:jc w:val="both"/>
            </w:pPr>
            <w:r>
              <w:rPr>
                <w:rFonts w:ascii="仿宋_GB2312" w:hAnsi="仿宋_GB2312" w:cs="仿宋_GB2312" w:eastAsia="仿宋_GB2312"/>
                <w:sz w:val="24"/>
                <w:b/>
              </w:rPr>
              <w:t>六、其他服务项目</w:t>
            </w:r>
          </w:p>
          <w:p>
            <w:pPr>
              <w:pStyle w:val="null3"/>
              <w:jc w:val="both"/>
            </w:pPr>
            <w:r>
              <w:rPr>
                <w:rFonts w:ascii="仿宋_GB2312" w:hAnsi="仿宋_GB2312" w:cs="仿宋_GB2312" w:eastAsia="仿宋_GB2312"/>
                <w:sz w:val="24"/>
              </w:rPr>
              <w:t>1.提供《维修报告》、《保养报告》、《设备年度保养报告》；</w:t>
            </w:r>
          </w:p>
          <w:p>
            <w:pPr>
              <w:pStyle w:val="null3"/>
              <w:jc w:val="both"/>
            </w:pPr>
            <w:r>
              <w:rPr>
                <w:rFonts w:ascii="仿宋_GB2312" w:hAnsi="仿宋_GB2312" w:cs="仿宋_GB2312" w:eastAsia="仿宋_GB2312"/>
                <w:sz w:val="24"/>
              </w:rPr>
              <w:t>2.免费提供CT设备的日常操作、维护，维修技能等相关培训服务；</w:t>
            </w:r>
          </w:p>
          <w:p>
            <w:pPr>
              <w:pStyle w:val="null3"/>
              <w:jc w:val="both"/>
            </w:pPr>
            <w:r>
              <w:rPr>
                <w:rFonts w:ascii="仿宋_GB2312" w:hAnsi="仿宋_GB2312" w:cs="仿宋_GB2312" w:eastAsia="仿宋_GB2312"/>
                <w:sz w:val="24"/>
              </w:rPr>
              <w:t>3.需要更换的部件属于</w:t>
            </w:r>
            <w:r>
              <w:rPr>
                <w:rFonts w:ascii="仿宋_GB2312" w:hAnsi="仿宋_GB2312" w:cs="仿宋_GB2312" w:eastAsia="仿宋_GB2312"/>
                <w:sz w:val="24"/>
              </w:rPr>
              <w:t>医疗器械的，供应商应按《医疗器械经营监督管理办法》的相关规定办理经营备案凭证（提供承诺函）。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年度评估总结：年初提供年度详细的维保计划，年末出具详细维保评估总结报告，汇总全年故障次数、故障类别、更换配件的具体数量及对应费用；全面评估设备运行状况，结合设备使用年限及故障规律，提出针对性的优化使用及维护建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咸阳市中心医院指定地点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其他，第一期维保费用：维保合同服务期开始后，乙方开具全额发票，甲方在收到相关结算资料后30日内，支付总维保费用的80%，达到付款条件起22个工作日内，支付合同总金额的80.0%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其他，第二期维保费用：服务期满，由乙方提请考核，经甲方考核合格后30日内支付剩余维保费用的20%，达到付款条件起22个工作日内，支付合同总金额的20.0%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争议解决途径：咸阳市渭城区人民法院管辖，诉讼解决。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1.具有独立承担民事责任的能力，提供合格有效的法人或者其他组织的营业执照等证明文件， 自然人的身份证明; 2.有依法缴纳税收的良好记录，提供缴费所属日期为投标文件递交截止时间前12个月内任一月份（投标文件递交截止时间当月不计入）的缴费凭据或税务机关出具的完税证明/在法规范围内不需提供的应出具书面说明和证明文件； /或具有依法缴纳税收的诚信声明； 以上二种形式的资料提供任何一种即可。 3.有依法缴纳社会保障资金的良好记录，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4.具有履行合同所必需的设备和专业技术能力，提供具有履行合同所必需的设备和专业技术能力的承诺； 5.参加政府采购活动前3年内，在经营活动中没有重大违法记录，提供书面声明。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参与的供应商（联合体）服务全部由符合政策要求的中小企业承接。（残疾人福利性单位及监狱企业视同小微企业）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法定代表人参加磋商响应的，须出示法定代表人身份证明及法定代表人身份证复印件；法定代表人授权他人参加磋商响应的，须提供法定代表人授权委托书及被授权人身份证复印件。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不得为中国政府采购网（www.ccgp.gov.cn）政府采购“严重违法失信行为信息记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本项目不接受由咸阳市中心医院职工及其亲属投资举办的企业参加磋商响应</w:t>
            </w:r>
          </w:p>
        </w:tc>
        <w:tc>
          <w:tcPr>
            <w:tcW w:type="dxa" w:w="3322"/>
          </w:tcPr>
          <w:p>
            <w:pPr>
              <w:pStyle w:val="null3"/>
            </w:pPr>
            <w:r>
              <w:rPr>
                <w:rFonts w:ascii="仿宋_GB2312" w:hAnsi="仿宋_GB2312" w:cs="仿宋_GB2312" w:eastAsia="仿宋_GB2312"/>
              </w:rPr>
              <w:t>本项目不接受由咸阳市中心医院职工及其亲属投资举办的企业参加磋商响应（提供承诺函）。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1.响应文件是否按照磋商文件要求的格式编写； 2.响应文件内容是否有重大缺漏项。 2.1是否按磋商文件要求完整报价、无缺漏项； 2.2响应文件构成是否完整，即是否按磋商文件要求提供了完整的响应文件； 2.3磋商文件要求提供的其他内容（如有要求）。</w:t>
            </w:r>
          </w:p>
        </w:tc>
        <w:tc>
          <w:tcPr>
            <w:tcW w:type="dxa" w:w="1661"/>
          </w:tcPr>
          <w:p>
            <w:pPr>
              <w:pStyle w:val="null3"/>
            </w:pPr>
            <w:r>
              <w:rPr>
                <w:rFonts w:ascii="仿宋_GB2312" w:hAnsi="仿宋_GB2312" w:cs="仿宋_GB2312" w:eastAsia="仿宋_GB2312"/>
              </w:rPr>
              <w:t>人员配备 服务质量保证措施 商务条款及合同条款承诺书 中小企业声明函 业绩 设备检测维修方案 服务内容及服务要求应答表 综合实力 供应商应提交的相关资格证明材料 报价表 其他内容 响应文件封面 无围串标声明函 服务内容 维修设备了解及维修重点难点分析 维护保养方案 培训方案 残疾人福利性单位声明函 标的清单 控股管理关系承诺书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人员配备 服务质量保证措施 商务条款及合同条款承诺书 中小企业声明函 业绩 设备检测维修方案 供应商应提交的相关资格证明材料 服务内容及服务要求应答表 综合实力 报价表 其他内容 响应文件封面 无围串标声明函 服务内容 维修设备了解及维修重点难点分析 维护保养方案 培训方案 残疾人福利性单位声明函 标的清单 控股管理关系承诺书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1.响应报价是否超过采购预算； 2.响应报价有效期是否符合磋商文件的要求； 3.响应文件内容是否符合国家法律法规，没有重大偏离； 4.对磋商文件中规定的实质性要求是否做出了响应。</w:t>
            </w:r>
          </w:p>
        </w:tc>
        <w:tc>
          <w:tcPr>
            <w:tcW w:type="dxa" w:w="1661"/>
          </w:tcPr>
          <w:p>
            <w:pPr>
              <w:pStyle w:val="null3"/>
            </w:pPr>
            <w:r>
              <w:rPr>
                <w:rFonts w:ascii="仿宋_GB2312" w:hAnsi="仿宋_GB2312" w:cs="仿宋_GB2312" w:eastAsia="仿宋_GB2312"/>
              </w:rPr>
              <w:t>人员配备 服务质量保证措施 商务条款及合同条款承诺书 中小企业声明函 业绩 设备检测维修方案 服务内容及服务要求应答表 综合实力 供应商应提交的相关资格证明材料 报价表 其他内容 无围串标声明函 服务内容 响应文件封面 维修设备了解及维修重点难点分析 维护保养方案 培训方案 残疾人福利性单位声明函 标的清单 控股管理关系承诺书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w:t>
            </w:r>
          </w:p>
        </w:tc>
        <w:tc>
          <w:tcPr>
            <w:tcW w:type="dxa" w:w="2492"/>
          </w:tcPr>
          <w:p>
            <w:pPr>
              <w:pStyle w:val="null3"/>
            </w:pPr>
            <w:r>
              <w:rPr>
                <w:rFonts w:ascii="仿宋_GB2312" w:hAnsi="仿宋_GB2312" w:cs="仿宋_GB2312" w:eastAsia="仿宋_GB2312"/>
              </w:rPr>
              <w:t>1.维保类型、保修范围、预防性维保、零配件及备件供应、维修响应时效满足招标文件要求，得5分，每偏离一项扣1分，扣完为止。 2.提供主要备品、备件采购合法合规渠道来源的证明材料，提供得5分，否则不得分。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w:t>
            </w:r>
          </w:p>
        </w:tc>
      </w:tr>
      <w:tr>
        <w:tc>
          <w:tcPr>
            <w:tcW w:type="dxa" w:w="831"/>
            <w:vMerge/>
          </w:tcPr>
          <w:p/>
        </w:tc>
        <w:tc>
          <w:tcPr>
            <w:tcW w:type="dxa" w:w="1661"/>
          </w:tcPr>
          <w:p>
            <w:pPr>
              <w:pStyle w:val="null3"/>
            </w:pPr>
            <w:r>
              <w:rPr>
                <w:rFonts w:ascii="仿宋_GB2312" w:hAnsi="仿宋_GB2312" w:cs="仿宋_GB2312" w:eastAsia="仿宋_GB2312"/>
              </w:rPr>
              <w:t>维修设备了解及维修重点难点分析</w:t>
            </w:r>
          </w:p>
        </w:tc>
        <w:tc>
          <w:tcPr>
            <w:tcW w:type="dxa" w:w="2492"/>
          </w:tcPr>
          <w:p>
            <w:pPr>
              <w:pStyle w:val="null3"/>
            </w:pPr>
            <w:r>
              <w:rPr>
                <w:rFonts w:ascii="仿宋_GB2312" w:hAnsi="仿宋_GB2312" w:cs="仿宋_GB2312" w:eastAsia="仿宋_GB2312"/>
              </w:rPr>
              <w:t>1.评审内容：供应商提供针对本项目的总体方案，方案内容包括：①设备存在的问题及状况分析 ②设备常见故障类型及处理方式。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6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维修设备了解及维修重点难点分析</w:t>
            </w:r>
          </w:p>
        </w:tc>
      </w:tr>
      <w:tr>
        <w:tc>
          <w:tcPr>
            <w:tcW w:type="dxa" w:w="831"/>
            <w:vMerge/>
          </w:tcPr>
          <w:p/>
        </w:tc>
        <w:tc>
          <w:tcPr>
            <w:tcW w:type="dxa" w:w="1661"/>
          </w:tcPr>
          <w:p>
            <w:pPr>
              <w:pStyle w:val="null3"/>
            </w:pPr>
            <w:r>
              <w:rPr>
                <w:rFonts w:ascii="仿宋_GB2312" w:hAnsi="仿宋_GB2312" w:cs="仿宋_GB2312" w:eastAsia="仿宋_GB2312"/>
              </w:rPr>
              <w:t>设备检测维修方案</w:t>
            </w:r>
          </w:p>
        </w:tc>
        <w:tc>
          <w:tcPr>
            <w:tcW w:type="dxa" w:w="2492"/>
          </w:tcPr>
          <w:p>
            <w:pPr>
              <w:pStyle w:val="null3"/>
            </w:pPr>
            <w:r>
              <w:rPr>
                <w:rFonts w:ascii="仿宋_GB2312" w:hAnsi="仿宋_GB2312" w:cs="仿宋_GB2312" w:eastAsia="仿宋_GB2312"/>
              </w:rPr>
              <w:t>1.评审内容：供应商提供针对本项目的检测维修方案，方案内容包括：①硬件、软件检测维修方案 ②性能测试及校准。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1.5分，最多得9分；每一项内容相对每一项评审标准存在一处漏洞或缺陷扣0.5-1分，2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设备检测维修方案</w:t>
            </w:r>
          </w:p>
        </w:tc>
      </w:tr>
      <w:tr>
        <w:tc>
          <w:tcPr>
            <w:tcW w:type="dxa" w:w="831"/>
            <w:vMerge/>
          </w:tcPr>
          <w:p/>
        </w:tc>
        <w:tc>
          <w:tcPr>
            <w:tcW w:type="dxa" w:w="1661"/>
          </w:tcPr>
          <w:p>
            <w:pPr>
              <w:pStyle w:val="null3"/>
            </w:pPr>
            <w:r>
              <w:rPr>
                <w:rFonts w:ascii="仿宋_GB2312" w:hAnsi="仿宋_GB2312" w:cs="仿宋_GB2312" w:eastAsia="仿宋_GB2312"/>
              </w:rPr>
              <w:t>维护保养 方案</w:t>
            </w:r>
          </w:p>
        </w:tc>
        <w:tc>
          <w:tcPr>
            <w:tcW w:type="dxa" w:w="2492"/>
          </w:tcPr>
          <w:p>
            <w:pPr>
              <w:pStyle w:val="null3"/>
            </w:pPr>
            <w:r>
              <w:rPr>
                <w:rFonts w:ascii="仿宋_GB2312" w:hAnsi="仿宋_GB2312" w:cs="仿宋_GB2312" w:eastAsia="仿宋_GB2312"/>
              </w:rPr>
              <w:t>1.评审内容：供应商提供针对本项目的维护保养方案，方案内容包括：①日常维护保养方案 ②定期专业维护保养方案；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1.5分，最多得9分；每一项内容相对每一项评审标准存在一处漏洞或缺陷扣0.5-1分，1.5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维护保养方案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1.评审内容：供应商提供针对本项目的服务质量保证措施，内容包括：①开机保障率保证措施 ②维修响应保证措施及维修质量跟踪服务措施 ③备品备件供应保证措施及维修人员服务质量管理评价措施 ④突发特殊情况应急处理措施。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12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服务质量保证措施</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供应商为本项目配备≥2名具有CT维修能力的工程师。提供工程师相关培训证书。提供2名得6分，少于2名不得分，每多提供1名加2分，本项最高10分。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供应商提供针对本项目技术支持及培训方案。 1.评审内容：①技术支持方式、技术支持人员配置；②培训内容、培训对象、培训形式及次数、培训考核办法、预期培训效果。 2.评审标准：①全面详细性：内容描述详细具体无缺漏；②合理性：内容合理、贴合项目实际需求。 3.赋分标准：每一项内容完全满足评审标准得1分，部分满足得0.5分，该项内容无描述不得分。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提供供应商：ISO9001、ISO13485、ISO27001管理体系认证证书，证书覆盖内容满足磋商文件要求，全部提供得6分，缺一项扣2分，扣完为止。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综合实力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提供供应商2023年1月1日至投标截止时间飞利浦64排及以上CT维保业绩（业绩清单、对应合同），每提供一份有效且完整的合同复印件得3分,最多9分。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1.最低评标价为评标基准价，得25分。 2.按（评标基准价/评标价×25）的公式计算价格得分。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详见附件：商务条款及合同条款承诺书</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详见附件：无围串标声明函</w:t>
      </w:r>
    </w:p>
    <w:p>
      <w:pPr>
        <w:pStyle w:val="null3"/>
        <w:ind w:firstLine="960"/>
      </w:pPr>
      <w:r>
        <w:rPr>
          <w:rFonts w:ascii="仿宋_GB2312" w:hAnsi="仿宋_GB2312" w:cs="仿宋_GB2312" w:eastAsia="仿宋_GB2312"/>
        </w:rPr>
        <w:t>详见附件：控股管理关系承诺书</w:t>
      </w:r>
    </w:p>
    <w:p>
      <w:pPr>
        <w:pStyle w:val="null3"/>
        <w:ind w:firstLine="960"/>
      </w:pPr>
      <w:r>
        <w:rPr>
          <w:rFonts w:ascii="仿宋_GB2312" w:hAnsi="仿宋_GB2312" w:cs="仿宋_GB2312" w:eastAsia="仿宋_GB2312"/>
        </w:rPr>
        <w:t>详见附件：服务内容</w:t>
      </w:r>
    </w:p>
    <w:p>
      <w:pPr>
        <w:pStyle w:val="null3"/>
        <w:ind w:firstLine="960"/>
      </w:pPr>
      <w:r>
        <w:rPr>
          <w:rFonts w:ascii="仿宋_GB2312" w:hAnsi="仿宋_GB2312" w:cs="仿宋_GB2312" w:eastAsia="仿宋_GB2312"/>
        </w:rPr>
        <w:t>详见附件：维修设备了解及维修重点难点分析</w:t>
      </w:r>
    </w:p>
    <w:p>
      <w:pPr>
        <w:pStyle w:val="null3"/>
        <w:ind w:firstLine="960"/>
      </w:pPr>
      <w:r>
        <w:rPr>
          <w:rFonts w:ascii="仿宋_GB2312" w:hAnsi="仿宋_GB2312" w:cs="仿宋_GB2312" w:eastAsia="仿宋_GB2312"/>
        </w:rPr>
        <w:t>详见附件：设备检测维修方案</w:t>
      </w:r>
    </w:p>
    <w:p>
      <w:pPr>
        <w:pStyle w:val="null3"/>
        <w:ind w:firstLine="960"/>
      </w:pPr>
      <w:r>
        <w:rPr>
          <w:rFonts w:ascii="仿宋_GB2312" w:hAnsi="仿宋_GB2312" w:cs="仿宋_GB2312" w:eastAsia="仿宋_GB2312"/>
        </w:rPr>
        <w:t>详见附件：维护保养方案</w:t>
      </w:r>
    </w:p>
    <w:p>
      <w:pPr>
        <w:pStyle w:val="null3"/>
        <w:ind w:firstLine="960"/>
      </w:pPr>
      <w:r>
        <w:rPr>
          <w:rFonts w:ascii="仿宋_GB2312" w:hAnsi="仿宋_GB2312" w:cs="仿宋_GB2312" w:eastAsia="仿宋_GB2312"/>
        </w:rPr>
        <w:t>详见附件：服务质量保证措施</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详见附件：综合实力</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