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版本号：ZYJY-【2026】CS089120260817001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非强检设备计量服务项目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ZYJY-【2026】CS0891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非强检设备计量服务项目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ZYJY-【2026】CS0891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非强检设备计量服务项目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西安市儿童医院非强检设备计量服务项目，具体详见采购文件第三章。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财务状况报告：提供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6、专业技术能力：专业技术能力：提供具有履行本合同所必需的设备和专业技术能力的承诺书；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西安市高新区科技二路72号兰基中心1003室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成交）供应商的中标（成交）金额为基数，在《国家计委关于印发&lt;招标代理服务收费管理暂行办法&gt;的通知》（计价格〔2002〕1980号）规定标准的基础上下浮20%，成交供应商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二、如采用供应商所不拥有的知识产权，则在报价中必须包括合法使用该知识产权的相关费用。 三、构成本磋商文件的各组成部分，未经采购人书面同意，供应商不得擅自复印或用于非本磋商项目所需的其他目的。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地址：西安市高新区科技二路72号兰基中心1003室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西安市儿童医院非强检设备计量服务项目，具体详见采购文件第三章。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非强检设备计量服务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标的名称：非强检设备计量服务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18"/>
                <w:b/>
                <w:color w:val="0000FF"/>
              </w:rPr>
              <w:t>一、项目概况：</w:t>
            </w:r>
          </w:p>
          <w:p>
            <w:pPr>
              <w:pStyle w:val="null3"/>
              <w:ind w:firstLine="360"/>
              <w:jc w:val="both"/>
            </w:pPr>
            <w:r>
              <w:rPr>
                <w:rFonts w:ascii="仿宋_GB2312" w:hAnsi="仿宋_GB2312" w:cs="仿宋_GB2312" w:eastAsia="仿宋_GB2312"/>
                <w:sz w:val="18"/>
                <w:color w:val="0000FF"/>
              </w:rPr>
              <w:t>为确保医疗服务和诊疗安全，迎接三甲复审，提升群众就医安全感与满意度，依据国家计量器具管理相关要求及本院计量器具管理制度，参照陕西省物价局、财政厅《关于重新核定我省计量检定收费标准的通知》（陕价行发〔</w:t>
            </w:r>
            <w:r>
              <w:rPr>
                <w:rFonts w:ascii="仿宋_GB2312" w:hAnsi="仿宋_GB2312" w:cs="仿宋_GB2312" w:eastAsia="仿宋_GB2312"/>
                <w:sz w:val="18"/>
                <w:color w:val="0000FF"/>
              </w:rPr>
              <w:t>2005〕186号）收费标准，结合院内现有医疗设备现状，开展全院医疗仪器设备定期计量检定/校准服务。</w:t>
            </w:r>
          </w:p>
          <w:p>
            <w:pPr>
              <w:pStyle w:val="null3"/>
              <w:numPr>
                <w:ilvl w:val="0"/>
                <w:numId w:val="1"/>
              </w:numPr>
              <w:jc w:val="both"/>
            </w:pPr>
            <w:r>
              <w:rPr>
                <w:rFonts w:ascii="仿宋_GB2312" w:hAnsi="仿宋_GB2312" w:cs="仿宋_GB2312" w:eastAsia="仿宋_GB2312"/>
                <w:sz w:val="18"/>
                <w:b/>
                <w:color w:val="0000FF"/>
              </w:rPr>
              <w:t>二、服务内容：</w:t>
            </w:r>
          </w:p>
          <w:tbl>
            <w:tblPr>
              <w:tblInd w:type="dxa" w:w="210"/>
              <w:tblBorders>
                <w:top w:val="none" w:color="000000" w:sz="4"/>
                <w:left w:val="none" w:color="000000" w:sz="4"/>
                <w:bottom w:val="none" w:color="000000" w:sz="4"/>
                <w:right w:val="none" w:color="000000" w:sz="4"/>
                <w:insideH w:val="none"/>
                <w:insideV w:val="none"/>
              </w:tblBorders>
            </w:tblPr>
            <w:tblGrid>
              <w:gridCol w:w="243"/>
              <w:gridCol w:w="851"/>
              <w:gridCol w:w="939"/>
              <w:gridCol w:w="508"/>
            </w:tblGrid>
            <w:tr>
              <w:tc>
                <w:tcPr>
                  <w:tcW w:type="dxa" w:w="24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FF"/>
                    </w:rPr>
                    <w:t>序号</w:t>
                  </w:r>
                </w:p>
              </w:tc>
              <w:tc>
                <w:tcPr>
                  <w:tcW w:type="dxa" w:w="8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FF"/>
                    </w:rPr>
                    <w:t>仪器名称</w:t>
                  </w:r>
                </w:p>
              </w:tc>
              <w:tc>
                <w:tcPr>
                  <w:tcW w:type="dxa" w:w="9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FF"/>
                    </w:rPr>
                    <w:t>计量检定</w:t>
                  </w:r>
                  <w:r>
                    <w:rPr>
                      <w:rFonts w:ascii="仿宋_GB2312" w:hAnsi="仿宋_GB2312" w:cs="仿宋_GB2312" w:eastAsia="仿宋_GB2312"/>
                      <w:sz w:val="18"/>
                      <w:b/>
                      <w:color w:val="0000FF"/>
                    </w:rPr>
                    <w:t>/校准台（项）费用</w:t>
                  </w:r>
                </w:p>
                <w:p>
                  <w:pPr>
                    <w:pStyle w:val="null3"/>
                    <w:jc w:val="center"/>
                  </w:pPr>
                  <w:r>
                    <w:rPr>
                      <w:rFonts w:ascii="仿宋_GB2312" w:hAnsi="仿宋_GB2312" w:cs="仿宋_GB2312" w:eastAsia="仿宋_GB2312"/>
                      <w:sz w:val="18"/>
                      <w:b/>
                      <w:color w:val="0000FF"/>
                    </w:rPr>
                    <w:t>最高限价</w:t>
                  </w:r>
                </w:p>
              </w:tc>
              <w:tc>
                <w:tcPr>
                  <w:tcW w:type="dxa" w:w="5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FF"/>
                    </w:rPr>
                    <w:t>备注</w:t>
                  </w:r>
                </w:p>
              </w:tc>
            </w:tr>
            <w:tr>
              <w:tc>
                <w:tcPr>
                  <w:tcW w:type="dxa" w:w="243"/>
                  <w:vMerge/>
                  <w:tcBorders>
                    <w:top w:val="single" w:color="000000" w:sz="4"/>
                    <w:left w:val="single" w:color="000000" w:sz="4"/>
                    <w:bottom w:val="single" w:color="000000" w:sz="4"/>
                    <w:right w:val="single" w:color="000000" w:sz="4"/>
                  </w:tcBorders>
                </w:tcPr>
                <w:p/>
              </w:tc>
              <w:tc>
                <w:tcPr>
                  <w:tcW w:type="dxa" w:w="851"/>
                  <w:vMerge/>
                  <w:tcBorders>
                    <w:top w:val="single" w:color="000000" w:sz="4"/>
                    <w:left w:val="none" w:color="000000" w:sz="4"/>
                    <w:bottom w:val="single" w:color="000000" w:sz="4"/>
                    <w:right w:val="single" w:color="000000" w:sz="4"/>
                  </w:tcBorders>
                </w:tcPr>
                <w:p/>
              </w:tc>
              <w:tc>
                <w:tcPr>
                  <w:tcW w:type="dxa" w:w="939"/>
                  <w:vMerge/>
                  <w:tcBorders>
                    <w:top w:val="single" w:color="000000" w:sz="4"/>
                    <w:left w:val="none" w:color="000000" w:sz="4"/>
                    <w:bottom w:val="single" w:color="000000" w:sz="4"/>
                    <w:right w:val="single" w:color="000000" w:sz="4"/>
                  </w:tcBorders>
                </w:tcPr>
                <w:p/>
              </w:tc>
              <w:tc>
                <w:tcPr>
                  <w:tcW w:type="dxa" w:w="508"/>
                  <w:vMerge/>
                  <w:tcBorders>
                    <w:top w:val="single" w:color="000000" w:sz="4"/>
                    <w:left w:val="none" w:color="000000" w:sz="4"/>
                    <w:bottom w:val="single" w:color="000000" w:sz="4"/>
                    <w:right w:val="single" w:color="000000" w:sz="4"/>
                  </w:tcBorders>
                </w:tc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影像核磁</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6880元/台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超声科彩超（单台单探头）</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增加探头另行计价</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泵（单通道）</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450元/台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如设备为多通道泵，按实际通道数量计费。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移液器</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280元/把</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除颤仪单台</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515元/台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重症科室呼吸机</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960元/台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麻醉机</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960元/台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血液透析机</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1320元/台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灭菌器</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1500元/台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生物安全柜</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体重秤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血液冷藏箱</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婴儿培养箱</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445元/台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婴儿辐射保暖台</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445元/台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高频电刀</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910元/台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色谱仪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1200元/台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恒温箱</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氦氖激光仪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19</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PCR仪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天平</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冰箱</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离心机</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1200元/台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显微镜</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移液管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50元/个</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电导率仪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气体减压器</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计时器</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二氧化碳培养箱</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29</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霉菌培养箱</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96孔板混匀仪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450元/台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摇床</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450元/台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冰箱温度计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环境温湿度计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水银温度计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酶标仪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PH计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260元/台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恒温水浴箱</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350</w:t>
                  </w:r>
                  <w:r>
                    <w:rPr>
                      <w:rFonts w:ascii="仿宋_GB2312" w:hAnsi="仿宋_GB2312" w:cs="仿宋_GB2312" w:eastAsia="仿宋_GB2312"/>
                      <w:sz w:val="18"/>
                      <w:color w:val="0000FF"/>
                    </w:rPr>
                    <w:t>元</w:t>
                  </w:r>
                  <w:r>
                    <w:rPr>
                      <w:rFonts w:ascii="仿宋_GB2312" w:hAnsi="仿宋_GB2312" w:cs="仿宋_GB2312" w:eastAsia="仿宋_GB2312"/>
                      <w:sz w:val="18"/>
                      <w:color w:val="0000FF"/>
                    </w:rPr>
                    <w:t>/台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金属浴</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370元/台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39</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压力表</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游标卡尺</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二氧化碳气体检测仪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460元/台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水平旋转仪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450元/台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盐水分配器</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460元/台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免疫分析仪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2000元/台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化学发光分析仪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2000元/台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凝血分析仪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微生物定量分析仪</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3000元/台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18"/>
                <w:b/>
                <w:color w:val="0000FF"/>
              </w:rPr>
              <w:t>备注：</w:t>
            </w:r>
            <w:r>
              <w:rPr>
                <w:rFonts w:ascii="仿宋_GB2312" w:hAnsi="仿宋_GB2312" w:cs="仿宋_GB2312" w:eastAsia="仿宋_GB2312"/>
                <w:sz w:val="18"/>
                <w:b/>
                <w:color w:val="0000FF"/>
              </w:rPr>
              <w:t>1.本清单包含但不限于上述47项计量检定/校准项目，服务周期1年，最终按实际完成的检定/校准台（项）数据实结算。服务期内全部实际结算总金额不得超过预算金额50万元。2.本项目按折扣报价，实际结算单价=计量检定/校准台（项）费用最高限价*折扣率。</w:t>
            </w:r>
          </w:p>
          <w:p>
            <w:pPr>
              <w:pStyle w:val="null3"/>
              <w:jc w:val="left"/>
            </w:pPr>
            <w:r>
              <w:rPr>
                <w:rFonts w:ascii="仿宋_GB2312" w:hAnsi="仿宋_GB2312" w:cs="仿宋_GB2312" w:eastAsia="仿宋_GB2312"/>
                <w:sz w:val="18"/>
                <w:b/>
                <w:color w:val="0000FF"/>
              </w:rPr>
              <w:t>三、技术要求：</w:t>
            </w:r>
          </w:p>
          <w:p>
            <w:pPr>
              <w:pStyle w:val="null3"/>
              <w:jc w:val="both"/>
            </w:pPr>
            <w:r>
              <w:rPr>
                <w:rFonts w:ascii="仿宋_GB2312" w:hAnsi="仿宋_GB2312" w:cs="仿宋_GB2312" w:eastAsia="仿宋_GB2312"/>
                <w:sz w:val="18"/>
                <w:color w:val="0000FF"/>
              </w:rPr>
              <w:t>1、供应商开展本院各类设备计量校准工作，优先采用国家计量检定规程、国家计量校准规范；也可采用国际、区域、国家标准，或知名技术组织、权威科技书刊期刊发布的计量校准方法开展计量校准服务。</w:t>
            </w:r>
          </w:p>
          <w:p>
            <w:pPr>
              <w:pStyle w:val="null3"/>
              <w:jc w:val="both"/>
            </w:pPr>
            <w:r>
              <w:rPr>
                <w:rFonts w:ascii="仿宋_GB2312" w:hAnsi="仿宋_GB2312" w:cs="仿宋_GB2312" w:eastAsia="仿宋_GB2312"/>
                <w:sz w:val="18"/>
                <w:color w:val="0000FF"/>
              </w:rPr>
              <w:t>2、供应商按照《计量法》和省计量监督管理条例的要求开展工作，并提供符合主管部门要求的结果报告。</w:t>
            </w:r>
          </w:p>
          <w:p>
            <w:pPr>
              <w:pStyle w:val="null3"/>
              <w:jc w:val="both"/>
            </w:pPr>
            <w:r>
              <w:rPr>
                <w:rFonts w:ascii="仿宋_GB2312" w:hAnsi="仿宋_GB2312" w:cs="仿宋_GB2312" w:eastAsia="仿宋_GB2312"/>
                <w:sz w:val="18"/>
                <w:color w:val="0000FF"/>
              </w:rPr>
              <w:t>3、供应商需严格执⾏相应的规程、规范等技术⽂件，保证检定/校准/检测数据的准确性、可靠性。当采购人或上级检查机构对检定/校准/检测结果提出质疑，供应商需对发⽣的问题进⾏解释，必要时采取复检等措施。</w:t>
            </w:r>
          </w:p>
          <w:p>
            <w:pPr>
              <w:pStyle w:val="null3"/>
              <w:jc w:val="both"/>
            </w:pPr>
            <w:r>
              <w:rPr>
                <w:rFonts w:ascii="仿宋_GB2312" w:hAnsi="仿宋_GB2312" w:cs="仿宋_GB2312" w:eastAsia="仿宋_GB2312"/>
                <w:sz w:val="18"/>
                <w:color w:val="0000FF"/>
              </w:rPr>
              <w:t>4、当供应商使用非标准方法时，应征得采购人及其主管部门书面同意。</w:t>
            </w:r>
          </w:p>
          <w:p>
            <w:pPr>
              <w:pStyle w:val="null3"/>
              <w:jc w:val="both"/>
            </w:pPr>
            <w:r>
              <w:rPr>
                <w:rFonts w:ascii="仿宋_GB2312" w:hAnsi="仿宋_GB2312" w:cs="仿宋_GB2312" w:eastAsia="仿宋_GB2312"/>
                <w:sz w:val="18"/>
                <w:b/>
                <w:color w:val="0000FF"/>
              </w:rPr>
              <w:t>四、服务要求：</w:t>
            </w:r>
          </w:p>
          <w:p>
            <w:pPr>
              <w:pStyle w:val="null3"/>
            </w:pPr>
            <w:r>
              <w:rPr>
                <w:rFonts w:ascii="仿宋_GB2312" w:hAnsi="仿宋_GB2312" w:cs="仿宋_GB2312" w:eastAsia="仿宋_GB2312"/>
                <w:sz w:val="18"/>
                <w:color w:val="0000FF"/>
                <w:shd w:fill="FFFFFF" w:val="clear"/>
              </w:rPr>
              <w:t>1、供应商须具备有效期内CNAS实验至认可证书或CMA检验检测机构资质认定证书</w:t>
            </w:r>
            <w:r>
              <w:rPr>
                <w:rFonts w:ascii="仿宋_GB2312" w:hAnsi="仿宋_GB2312" w:cs="仿宋_GB2312" w:eastAsia="仿宋_GB2312"/>
                <w:sz w:val="18"/>
                <w:color w:val="0000FF"/>
                <w:shd w:fill="FFFFFF" w:val="clear"/>
              </w:rPr>
              <w:t>，所有检定</w:t>
            </w:r>
            <w:r>
              <w:rPr>
                <w:rFonts w:ascii="仿宋_GB2312" w:hAnsi="仿宋_GB2312" w:cs="仿宋_GB2312" w:eastAsia="仿宋_GB2312"/>
                <w:sz w:val="18"/>
                <w:color w:val="0000FF"/>
                <w:shd w:fill="FFFFFF" w:val="clear"/>
              </w:rPr>
              <w:t>/校准项目须在其授权/认可能力范围之内。</w:t>
            </w:r>
            <w:r>
              <w:rPr>
                <w:rFonts w:ascii="仿宋_GB2312" w:hAnsi="仿宋_GB2312" w:cs="仿宋_GB2312" w:eastAsia="仿宋_GB2312"/>
                <w:sz w:val="18"/>
                <w:b/>
                <w:color w:val="0000FF"/>
                <w:shd w:fill="FFFFFF" w:val="clear"/>
              </w:rPr>
              <w:t>（提供证明材料）</w:t>
            </w:r>
          </w:p>
          <w:p>
            <w:pPr>
              <w:pStyle w:val="null3"/>
            </w:pPr>
            <w:r>
              <w:rPr>
                <w:rFonts w:ascii="仿宋_GB2312" w:hAnsi="仿宋_GB2312" w:cs="仿宋_GB2312" w:eastAsia="仿宋_GB2312"/>
                <w:sz w:val="18"/>
                <w:color w:val="0000FF"/>
                <w:shd w:fill="FFFFFF" w:val="clear"/>
              </w:rPr>
              <w:t>2、供应商妥善保管采购人提供的仪器设备以及相关的技术资料、图纸，并对获取的采购人商业秘密、技术秘密严格保密。合同终止后保密义务持续有效。如因供应商原因造成泄露，供应商承担由此给采购人造成全部经济损失及相应法律责任。</w:t>
            </w:r>
          </w:p>
          <w:p>
            <w:pPr>
              <w:pStyle w:val="null3"/>
            </w:pPr>
            <w:r>
              <w:rPr>
                <w:rFonts w:ascii="仿宋_GB2312" w:hAnsi="仿宋_GB2312" w:cs="仿宋_GB2312" w:eastAsia="仿宋_GB2312"/>
                <w:sz w:val="18"/>
                <w:color w:val="0000FF"/>
                <w:shd w:fill="FFFFFF" w:val="clear"/>
              </w:rPr>
              <w:t>3、检定、校准过程中，如仪器故障无法完成检测，由采购人负责维修，仪器修复后在本次服务周期内再次送检，供应商不得重复收取该台设备检定/校准费用。</w:t>
            </w:r>
          </w:p>
          <w:p>
            <w:pPr>
              <w:pStyle w:val="null3"/>
            </w:pPr>
            <w:r>
              <w:rPr>
                <w:rFonts w:ascii="仿宋_GB2312" w:hAnsi="仿宋_GB2312" w:cs="仿宋_GB2312" w:eastAsia="仿宋_GB2312"/>
                <w:sz w:val="18"/>
                <w:color w:val="0000FF"/>
                <w:shd w:fill="FFFFFF" w:val="clear"/>
              </w:rPr>
              <w:t>4、检定/校准过程中造成仪器损坏，若因供应商操作不当导致，由供应商承担赔偿责任；若属于设备自身老化、固有缺陷，则由采购人自行承担，双方对损坏原因存在分歧可委托第三方鉴定。检测完成后供应商须将仪器设备全部退回采购人。</w:t>
            </w:r>
          </w:p>
          <w:p>
            <w:pPr>
              <w:pStyle w:val="null3"/>
            </w:pPr>
            <w:r>
              <w:rPr>
                <w:rFonts w:ascii="仿宋_GB2312" w:hAnsi="仿宋_GB2312" w:cs="仿宋_GB2312" w:eastAsia="仿宋_GB2312"/>
                <w:sz w:val="18"/>
                <w:color w:val="0000FF"/>
                <w:shd w:fill="FFFFFF" w:val="clear"/>
              </w:rPr>
              <w:t>5、送检仪器自供应商完整接收设备之日起10个工作日内完成检定/校准；现场检定/校准项目自进场之日起10个工作日内完成；特殊仪器按相关规定执行，另有时限要求由双方另行协商。</w:t>
            </w:r>
          </w:p>
          <w:p>
            <w:pPr>
              <w:pStyle w:val="null3"/>
            </w:pPr>
            <w:r>
              <w:rPr>
                <w:rFonts w:ascii="仿宋_GB2312" w:hAnsi="仿宋_GB2312" w:cs="仿宋_GB2312" w:eastAsia="仿宋_GB2312"/>
                <w:sz w:val="18"/>
                <w:color w:val="0000FF"/>
                <w:shd w:fill="FFFFFF" w:val="clear"/>
              </w:rPr>
              <w:t>6、设备送检往返的包装、运输、人工等全部费用均由供应商承担，采购人无需另行付费。运输途中仪器发生损坏、遗失，全部责任及损失赔偿由供应商承担。</w:t>
            </w:r>
          </w:p>
          <w:p>
            <w:pPr>
              <w:pStyle w:val="null3"/>
            </w:pPr>
            <w:r>
              <w:rPr>
                <w:rFonts w:ascii="仿宋_GB2312" w:hAnsi="仿宋_GB2312" w:cs="仿宋_GB2312" w:eastAsia="仿宋_GB2312"/>
                <w:sz w:val="18"/>
                <w:color w:val="0000FF"/>
                <w:shd w:fill="FFFFFF" w:val="clear"/>
              </w:rPr>
              <w:t>7、供应商提供7×24小时应急技术支持，接到采购人应急通知后，2小时内响应，现场应急检定4-8小时内抵达现场，保障临床急救设备应急检定需求。</w:t>
            </w:r>
          </w:p>
          <w:p>
            <w:pPr>
              <w:pStyle w:val="null3"/>
            </w:pPr>
            <w:r>
              <w:rPr>
                <w:rFonts w:ascii="仿宋_GB2312" w:hAnsi="仿宋_GB2312" w:cs="仿宋_GB2312" w:eastAsia="仿宋_GB2312"/>
                <w:sz w:val="18"/>
                <w:color w:val="0000FF"/>
                <w:shd w:fill="FFFFFF" w:val="clear"/>
              </w:rPr>
              <w:t>8、设立专职人员，对全院医疗设备开展定期检定巡检，及时排查即将到期的设备，每月向采购人报送即将到期设备清单，方便院内管理。</w:t>
            </w:r>
          </w:p>
          <w:p>
            <w:pPr>
              <w:pStyle w:val="null3"/>
            </w:pPr>
            <w:r>
              <w:rPr>
                <w:rFonts w:ascii="仿宋_GB2312" w:hAnsi="仿宋_GB2312" w:cs="仿宋_GB2312" w:eastAsia="仿宋_GB2312"/>
                <w:sz w:val="18"/>
                <w:color w:val="0000FF"/>
                <w:shd w:fill="FFFFFF" w:val="clear"/>
              </w:rPr>
              <w:t>9、建立全院医疗设备计量校准专项管理台账，做到设备计量信息清晰可追溯。</w:t>
            </w:r>
          </w:p>
          <w:p>
            <w:pPr>
              <w:pStyle w:val="null3"/>
            </w:pPr>
            <w:r>
              <w:rPr>
                <w:rFonts w:ascii="仿宋_GB2312" w:hAnsi="仿宋_GB2312" w:cs="仿宋_GB2312" w:eastAsia="仿宋_GB2312"/>
                <w:sz w:val="18"/>
                <w:color w:val="0000FF"/>
                <w:shd w:fill="FFFFFF" w:val="clear"/>
              </w:rPr>
              <w:t>10、统一统筹负责两个院区全部医疗设备的计量送检工作。负责各类与计量工作相关的迎检工作，并负责全面协调。</w:t>
            </w:r>
          </w:p>
          <w:p>
            <w:pPr>
              <w:pStyle w:val="null3"/>
              <w:jc w:val="both"/>
            </w:pPr>
            <w:r>
              <w:rPr>
                <w:rFonts w:ascii="仿宋_GB2312" w:hAnsi="仿宋_GB2312" w:cs="仿宋_GB2312" w:eastAsia="仿宋_GB2312"/>
                <w:sz w:val="18"/>
                <w:b/>
                <w:color w:val="0000FF"/>
              </w:rPr>
              <w:t>五、</w:t>
            </w:r>
            <w:r>
              <w:rPr>
                <w:rFonts w:ascii="仿宋_GB2312" w:hAnsi="仿宋_GB2312" w:cs="仿宋_GB2312" w:eastAsia="仿宋_GB2312"/>
                <w:sz w:val="18"/>
                <w:b/>
                <w:color w:val="0000FF"/>
              </w:rPr>
              <w:t>商务要求：</w:t>
            </w:r>
          </w:p>
          <w:p>
            <w:pPr>
              <w:pStyle w:val="null3"/>
            </w:pPr>
            <w:r>
              <w:rPr>
                <w:rFonts w:ascii="仿宋_GB2312" w:hAnsi="仿宋_GB2312" w:cs="仿宋_GB2312" w:eastAsia="仿宋_GB2312"/>
                <w:sz w:val="18"/>
                <w:color w:val="0000FF"/>
                <w:shd w:fill="FFFFFF" w:val="clear"/>
              </w:rPr>
              <w:t>1、服务期限：自合同签订之日起1年。</w:t>
            </w:r>
          </w:p>
          <w:p>
            <w:pPr>
              <w:pStyle w:val="null3"/>
            </w:pPr>
            <w:r>
              <w:rPr>
                <w:rFonts w:ascii="仿宋_GB2312" w:hAnsi="仿宋_GB2312" w:cs="仿宋_GB2312" w:eastAsia="仿宋_GB2312"/>
                <w:sz w:val="18"/>
                <w:color w:val="0000FF"/>
                <w:shd w:fill="FFFFFF" w:val="clear"/>
              </w:rPr>
              <w:t>服务期内，供应商按照各医疗设备法定检定</w:t>
            </w:r>
            <w:r>
              <w:rPr>
                <w:rFonts w:ascii="仿宋_GB2312" w:hAnsi="仿宋_GB2312" w:cs="仿宋_GB2312" w:eastAsia="仿宋_GB2312"/>
                <w:sz w:val="18"/>
                <w:color w:val="0000FF"/>
                <w:shd w:fill="FFFFFF" w:val="clear"/>
              </w:rPr>
              <w:t>/校准周期，分批完成全院设备计量检定校准，全部工作完成后提交成果供甲方验收。</w:t>
            </w:r>
          </w:p>
          <w:p>
            <w:pPr>
              <w:pStyle w:val="null3"/>
            </w:pPr>
            <w:r>
              <w:rPr>
                <w:rFonts w:ascii="仿宋_GB2312" w:hAnsi="仿宋_GB2312" w:cs="仿宋_GB2312" w:eastAsia="仿宋_GB2312"/>
                <w:sz w:val="18"/>
                <w:color w:val="0000FF"/>
                <w:shd w:fill="FFFFFF" w:val="clear"/>
              </w:rPr>
              <w:t>2、款项结算：</w:t>
            </w:r>
          </w:p>
          <w:p>
            <w:pPr>
              <w:pStyle w:val="null3"/>
              <w:jc w:val="both"/>
            </w:pPr>
            <w:r>
              <w:rPr>
                <w:rFonts w:ascii="仿宋_GB2312" w:hAnsi="仿宋_GB2312" w:cs="仿宋_GB2312" w:eastAsia="仿宋_GB2312"/>
                <w:sz w:val="18"/>
                <w:color w:val="0000FF"/>
              </w:rPr>
              <w:t>成交供应商按投标文件承诺完成服务期内设备计量检定校准工作，费用根据服务期内实际完成检定</w:t>
            </w:r>
            <w:r>
              <w:rPr>
                <w:rFonts w:ascii="仿宋_GB2312" w:hAnsi="仿宋_GB2312" w:cs="仿宋_GB2312" w:eastAsia="仿宋_GB2312"/>
                <w:sz w:val="18"/>
                <w:color w:val="0000FF"/>
              </w:rPr>
              <w:t>/校准的设备台数、项目类型据实结算；成交供应商提交全部合格检定/校准证书、全额合规发票后。达到付款条件30个工作日内，支付合同总金额的100%。</w:t>
            </w:r>
          </w:p>
          <w:p>
            <w:pPr>
              <w:pStyle w:val="null3"/>
              <w:jc w:val="both"/>
            </w:pPr>
            <w:r>
              <w:rPr>
                <w:rFonts w:ascii="仿宋_GB2312" w:hAnsi="仿宋_GB2312" w:cs="仿宋_GB2312" w:eastAsia="仿宋_GB2312"/>
                <w:sz w:val="18"/>
                <w:b/>
                <w:color w:val="0000FF"/>
              </w:rPr>
              <w:t>六、其他要求</w:t>
            </w:r>
          </w:p>
          <w:p>
            <w:pPr>
              <w:pStyle w:val="null3"/>
              <w:jc w:val="both"/>
            </w:pPr>
            <w:r>
              <w:rPr>
                <w:rFonts w:ascii="仿宋_GB2312" w:hAnsi="仿宋_GB2312" w:cs="仿宋_GB2312" w:eastAsia="仿宋_GB2312"/>
                <w:sz w:val="18"/>
                <w:color w:val="0000FF"/>
              </w:rPr>
              <w:t>1、进度要求：服务期内，供应商严格按照各类设备法定检定/校准周期开展工作，按期完成全院设备计量检定、校准。</w:t>
            </w:r>
          </w:p>
          <w:p>
            <w:pPr>
              <w:pStyle w:val="null3"/>
              <w:jc w:val="both"/>
            </w:pPr>
            <w:r>
              <w:rPr>
                <w:rFonts w:ascii="仿宋_GB2312" w:hAnsi="仿宋_GB2312" w:cs="仿宋_GB2312" w:eastAsia="仿宋_GB2312"/>
                <w:sz w:val="18"/>
                <w:color w:val="0000FF"/>
              </w:rPr>
              <w:t>2、成果交付要求：每台设备对应的检定/校准证书（纸质+电子版）；全院医疗设备计量校准管理台账（电子版+纸质）；设备到期预警清单。</w:t>
            </w:r>
          </w:p>
          <w:p>
            <w:pPr>
              <w:pStyle w:val="null3"/>
              <w:jc w:val="both"/>
            </w:pPr>
            <w:r>
              <w:rPr>
                <w:rFonts w:ascii="仿宋_GB2312" w:hAnsi="仿宋_GB2312" w:cs="仿宋_GB2312" w:eastAsia="仿宋_GB2312"/>
                <w:sz w:val="18"/>
                <w:color w:val="0000FF"/>
              </w:rPr>
              <w:t>3、验收：采购人有权对成交供应商出具证书进行抽查核验，如发现证书虚假、超范围出具证书，采购人有权拒付费用、解除合同，并追究成交供应商赔偿责任。</w:t>
            </w:r>
          </w:p>
          <w:p>
            <w:pPr>
              <w:pStyle w:val="null3"/>
              <w:jc w:val="both"/>
            </w:pPr>
            <w:r>
              <w:rPr>
                <w:rFonts w:ascii="仿宋_GB2312" w:hAnsi="仿宋_GB2312" w:cs="仿宋_GB2312" w:eastAsia="仿宋_GB2312"/>
                <w:sz w:val="18"/>
                <w:b/>
                <w:color w:val="0000FF"/>
              </w:rPr>
              <w:t>附件：综合考核表</w:t>
            </w:r>
          </w:p>
          <w:tbl>
            <w:tblPr>
              <w:tblInd w:type="dxa" w:w="120"/>
              <w:tblBorders>
                <w:top w:val="none" w:color="000000" w:sz="4"/>
                <w:left w:val="none" w:color="000000" w:sz="4"/>
                <w:bottom w:val="none" w:color="000000" w:sz="4"/>
                <w:right w:val="none" w:color="000000" w:sz="4"/>
                <w:insideH w:val="none"/>
                <w:insideV w:val="none"/>
              </w:tblBorders>
            </w:tblPr>
            <w:tblGrid>
              <w:gridCol w:w="425"/>
              <w:gridCol w:w="425"/>
              <w:gridCol w:w="519"/>
              <w:gridCol w:w="332"/>
              <w:gridCol w:w="580"/>
              <w:gridCol w:w="271"/>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评价内容</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考核项目</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考核内容及要求</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配分</w:t>
                  </w:r>
                </w:p>
                <w:p>
                  <w:pPr>
                    <w:pStyle w:val="null3"/>
                    <w:jc w:val="center"/>
                  </w:pPr>
                  <w:r>
                    <w:rPr>
                      <w:rFonts w:ascii="仿宋_GB2312" w:hAnsi="仿宋_GB2312" w:cs="仿宋_GB2312" w:eastAsia="仿宋_GB2312"/>
                      <w:sz w:val="18"/>
                      <w:color w:val="0000FF"/>
                    </w:rPr>
                    <w:t>（</w:t>
                  </w:r>
                  <w:r>
                    <w:rPr>
                      <w:rFonts w:ascii="仿宋_GB2312" w:hAnsi="仿宋_GB2312" w:cs="仿宋_GB2312" w:eastAsia="仿宋_GB2312"/>
                      <w:sz w:val="18"/>
                      <w:color w:val="0000FF"/>
                    </w:rPr>
                    <w:t>分值</w:t>
                  </w:r>
                  <w:r>
                    <w:rPr>
                      <w:rFonts w:ascii="仿宋_GB2312" w:hAnsi="仿宋_GB2312" w:cs="仿宋_GB2312" w:eastAsia="仿宋_GB2312"/>
                      <w:sz w:val="18"/>
                      <w:color w:val="0000FF"/>
                    </w:rPr>
                    <w:t>）</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评分细则</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得分</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职业素养与规范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准备工作</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正确穿戴劳保</w:t>
                  </w:r>
                  <w:r>
                    <w:rPr>
                      <w:rFonts w:ascii="仿宋_GB2312" w:hAnsi="仿宋_GB2312" w:cs="仿宋_GB2312" w:eastAsia="仿宋_GB2312"/>
                      <w:sz w:val="18"/>
                      <w:color w:val="0000FF"/>
                    </w:rPr>
                    <w:t>用</w:t>
                  </w:r>
                  <w:r>
                    <w:rPr>
                      <w:rFonts w:ascii="仿宋_GB2312" w:hAnsi="仿宋_GB2312" w:cs="仿宋_GB2312" w:eastAsia="仿宋_GB2312"/>
                      <w:sz w:val="18"/>
                      <w:color w:val="0000FF"/>
                    </w:rPr>
                    <w:t>品，清点设备文件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8</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未穿戴扣</w:t>
                  </w:r>
                  <w:r>
                    <w:rPr>
                      <w:rFonts w:ascii="仿宋_GB2312" w:hAnsi="仿宋_GB2312" w:cs="仿宋_GB2312" w:eastAsia="仿宋_GB2312"/>
                      <w:sz w:val="18"/>
                      <w:color w:val="0000FF"/>
                    </w:rPr>
                    <w:t>4</w:t>
                  </w:r>
                  <w:r>
                    <w:rPr>
                      <w:rFonts w:ascii="仿宋_GB2312" w:hAnsi="仿宋_GB2312" w:cs="仿宋_GB2312" w:eastAsia="仿宋_GB2312"/>
                      <w:sz w:val="18"/>
                      <w:color w:val="0000FF"/>
                    </w:rPr>
                    <w:t>分，未清点扣</w:t>
                  </w:r>
                  <w:r>
                    <w:rPr>
                      <w:rFonts w:ascii="仿宋_GB2312" w:hAnsi="仿宋_GB2312" w:cs="仿宋_GB2312" w:eastAsia="仿宋_GB2312"/>
                      <w:sz w:val="18"/>
                      <w:color w:val="0000FF"/>
                    </w:rPr>
                    <w:t>4</w:t>
                  </w:r>
                  <w:r>
                    <w:rPr>
                      <w:rFonts w:ascii="仿宋_GB2312" w:hAnsi="仿宋_GB2312" w:cs="仿宋_GB2312" w:eastAsia="仿宋_GB2312"/>
                      <w:sz w:val="18"/>
                      <w:color w:val="0000FF"/>
                    </w:rPr>
                    <w:t>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6S</w:t>
                  </w:r>
                  <w:r>
                    <w:rPr>
                      <w:rFonts w:ascii="仿宋_GB2312" w:hAnsi="仿宋_GB2312" w:cs="仿宋_GB2312" w:eastAsia="仿宋_GB2312"/>
                      <w:sz w:val="18"/>
                      <w:color w:val="0000FF"/>
                    </w:rPr>
                    <w:t>规范</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遵守纪律，操作台整洁</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15</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违规扣分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核心校验操作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设备安装与组态</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正确安装、设置参数</w:t>
                  </w:r>
                  <w:r>
                    <w:rPr>
                      <w:rFonts w:ascii="仿宋_GB2312" w:hAnsi="仿宋_GB2312" w:cs="仿宋_GB2312" w:eastAsia="仿宋_GB2312"/>
                      <w:sz w:val="18"/>
                      <w:color w:val="0000FF"/>
                    </w:rPr>
                    <w:t>(</w:t>
                  </w:r>
                  <w:r>
                    <w:rPr>
                      <w:rFonts w:ascii="仿宋_GB2312" w:hAnsi="仿宋_GB2312" w:cs="仿宋_GB2312" w:eastAsia="仿宋_GB2312"/>
                      <w:sz w:val="18"/>
                      <w:color w:val="0000FF"/>
                    </w:rPr>
                    <w:t>位号</w:t>
                  </w:r>
                  <w:r>
                    <w:rPr>
                      <w:rFonts w:ascii="仿宋_GB2312" w:hAnsi="仿宋_GB2312" w:cs="仿宋_GB2312" w:eastAsia="仿宋_GB2312"/>
                      <w:sz w:val="18"/>
                      <w:color w:val="0000FF"/>
                    </w:rPr>
                    <w:t>/</w:t>
                  </w:r>
                  <w:r>
                    <w:rPr>
                      <w:rFonts w:ascii="仿宋_GB2312" w:hAnsi="仿宋_GB2312" w:cs="仿宋_GB2312" w:eastAsia="仿宋_GB2312"/>
                      <w:sz w:val="18"/>
                      <w:color w:val="0000FF"/>
                    </w:rPr>
                    <w:t>单位</w:t>
                  </w:r>
                  <w:r>
                    <w:rPr>
                      <w:rFonts w:ascii="仿宋_GB2312" w:hAnsi="仿宋_GB2312" w:cs="仿宋_GB2312" w:eastAsia="仿宋_GB2312"/>
                      <w:sz w:val="18"/>
                      <w:color w:val="0000FF"/>
                    </w:rPr>
                    <w:t>/</w:t>
                  </w:r>
                  <w:r>
                    <w:rPr>
                      <w:rFonts w:ascii="仿宋_GB2312" w:hAnsi="仿宋_GB2312" w:cs="仿宋_GB2312" w:eastAsia="仿宋_GB2312"/>
                      <w:sz w:val="18"/>
                      <w:color w:val="0000FF"/>
                    </w:rPr>
                    <w:t>量程</w:t>
                  </w:r>
                  <w:r>
                    <w:rPr>
                      <w:rFonts w:ascii="仿宋_GB2312" w:hAnsi="仿宋_GB2312" w:cs="仿宋_GB2312" w:eastAsia="仿宋_GB2312"/>
                      <w:sz w:val="18"/>
                      <w:color w:val="0000FF"/>
                    </w:rPr>
                    <w:t>）</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每处错误扣</w:t>
                  </w:r>
                  <w:r>
                    <w:rPr>
                      <w:rFonts w:ascii="仿宋_GB2312" w:hAnsi="仿宋_GB2312" w:cs="仿宋_GB2312" w:eastAsia="仿宋_GB2312"/>
                      <w:sz w:val="18"/>
                      <w:color w:val="0000FF"/>
                    </w:rPr>
                    <w:t>1-2</w:t>
                  </w:r>
                  <w:r>
                    <w:rPr>
                      <w:rFonts w:ascii="仿宋_GB2312" w:hAnsi="仿宋_GB2312" w:cs="仿宋_GB2312" w:eastAsia="仿宋_GB2312"/>
                      <w:sz w:val="18"/>
                      <w:color w:val="0000FF"/>
                    </w:rPr>
                    <w:t>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校验点操作</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正反行程各点，给定值准确</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漏点</w:t>
                  </w:r>
                  <w:r>
                    <w:rPr>
                      <w:rFonts w:ascii="仿宋_GB2312" w:hAnsi="仿宋_GB2312" w:cs="仿宋_GB2312" w:eastAsia="仿宋_GB2312"/>
                      <w:sz w:val="18"/>
                      <w:color w:val="0000FF"/>
                    </w:rPr>
                    <w:t>/</w:t>
                  </w:r>
                  <w:r>
                    <w:rPr>
                      <w:rFonts w:ascii="仿宋_GB2312" w:hAnsi="仿宋_GB2312" w:cs="仿宋_GB2312" w:eastAsia="仿宋_GB2312"/>
                      <w:sz w:val="18"/>
                      <w:color w:val="0000FF"/>
                    </w:rPr>
                    <w:t>过调每处扣</w:t>
                  </w:r>
                  <w:r>
                    <w:rPr>
                      <w:rFonts w:ascii="仿宋_GB2312" w:hAnsi="仿宋_GB2312" w:cs="仿宋_GB2312" w:eastAsia="仿宋_GB2312"/>
                      <w:sz w:val="18"/>
                      <w:color w:val="0000FF"/>
                    </w:rPr>
                    <w:t>2</w:t>
                  </w:r>
                  <w:r>
                    <w:rPr>
                      <w:rFonts w:ascii="仿宋_GB2312" w:hAnsi="仿宋_GB2312" w:cs="仿宋_GB2312" w:eastAsia="仿宋_GB2312"/>
                      <w:sz w:val="18"/>
                      <w:color w:val="0000FF"/>
                    </w:rPr>
                    <w:t>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试漏与调零</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加压试漏，正确大气调零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14</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漏气</w:t>
                  </w:r>
                  <w:r>
                    <w:rPr>
                      <w:rFonts w:ascii="仿宋_GB2312" w:hAnsi="仿宋_GB2312" w:cs="仿宋_GB2312" w:eastAsia="仿宋_GB2312"/>
                      <w:sz w:val="18"/>
                      <w:color w:val="0000FF"/>
                    </w:rPr>
                    <w:t>/</w:t>
                  </w:r>
                  <w:r>
                    <w:rPr>
                      <w:rFonts w:ascii="仿宋_GB2312" w:hAnsi="仿宋_GB2312" w:cs="仿宋_GB2312" w:eastAsia="仿宋_GB2312"/>
                      <w:sz w:val="18"/>
                      <w:color w:val="0000FF"/>
                    </w:rPr>
                    <w:t>未调零扣</w:t>
                  </w:r>
                  <w:r>
                    <w:rPr>
                      <w:rFonts w:ascii="仿宋_GB2312" w:hAnsi="仿宋_GB2312" w:cs="仿宋_GB2312" w:eastAsia="仿宋_GB2312"/>
                      <w:sz w:val="18"/>
                      <w:color w:val="0000FF"/>
                    </w:rPr>
                    <w:t>2</w:t>
                  </w:r>
                  <w:r>
                    <w:rPr>
                      <w:rFonts w:ascii="仿宋_GB2312" w:hAnsi="仿宋_GB2312" w:cs="仿宋_GB2312" w:eastAsia="仿宋_GB2312"/>
                      <w:sz w:val="18"/>
                      <w:color w:val="0000FF"/>
                    </w:rPr>
                    <w:t>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数据处理与结论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误差</w:t>
                  </w:r>
                  <w:r>
                    <w:rPr>
                      <w:rFonts w:ascii="仿宋_GB2312" w:hAnsi="仿宋_GB2312" w:cs="仿宋_GB2312" w:eastAsia="仿宋_GB2312"/>
                      <w:sz w:val="18"/>
                      <w:color w:val="0000FF"/>
                    </w:rPr>
                    <w:t>/</w:t>
                  </w:r>
                  <w:r>
                    <w:rPr>
                      <w:rFonts w:ascii="仿宋_GB2312" w:hAnsi="仿宋_GB2312" w:cs="仿宋_GB2312" w:eastAsia="仿宋_GB2312"/>
                      <w:sz w:val="18"/>
                      <w:color w:val="0000FF"/>
                    </w:rPr>
                    <w:t>回差计算</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计算正确</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每错一处扣</w:t>
                  </w:r>
                  <w:r>
                    <w:rPr>
                      <w:rFonts w:ascii="仿宋_GB2312" w:hAnsi="仿宋_GB2312" w:cs="仿宋_GB2312" w:eastAsia="仿宋_GB2312"/>
                      <w:sz w:val="18"/>
                      <w:color w:val="0000FF"/>
                    </w:rPr>
                    <w:t>0.5</w:t>
                  </w:r>
                  <w:r>
                    <w:rPr>
                      <w:rFonts w:ascii="仿宋_GB2312" w:hAnsi="仿宋_GB2312" w:cs="仿宋_GB2312" w:eastAsia="仿宋_GB2312"/>
                      <w:sz w:val="18"/>
                      <w:color w:val="0000FF"/>
                    </w:rPr>
                    <w:t>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结论判定</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结论正确且依据充分</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错误扣</w:t>
                  </w:r>
                  <w:r>
                    <w:rPr>
                      <w:rFonts w:ascii="仿宋_GB2312" w:hAnsi="仿宋_GB2312" w:cs="仿宋_GB2312" w:eastAsia="仿宋_GB2312"/>
                      <w:sz w:val="18"/>
                      <w:color w:val="0000FF"/>
                    </w:rPr>
                    <w:t>7</w:t>
                  </w:r>
                  <w:r>
                    <w:rPr>
                      <w:rFonts w:ascii="仿宋_GB2312" w:hAnsi="仿宋_GB2312" w:cs="仿宋_GB2312" w:eastAsia="仿宋_GB2312"/>
                      <w:sz w:val="18"/>
                      <w:color w:val="0000FF"/>
                    </w:rPr>
                    <w:t>分，说理不充分扣</w:t>
                  </w:r>
                  <w:r>
                    <w:rPr>
                      <w:rFonts w:ascii="仿宋_GB2312" w:hAnsi="仿宋_GB2312" w:cs="仿宋_GB2312" w:eastAsia="仿宋_GB2312"/>
                      <w:sz w:val="18"/>
                      <w:color w:val="0000FF"/>
                    </w:rPr>
                    <w:t>3</w:t>
                  </w:r>
                  <w:r>
                    <w:rPr>
                      <w:rFonts w:ascii="仿宋_GB2312" w:hAnsi="仿宋_GB2312" w:cs="仿宋_GB2312" w:eastAsia="仿宋_GB2312"/>
                      <w:sz w:val="18"/>
                      <w:color w:val="0000FF"/>
                    </w:rPr>
                    <w:t>-</w:t>
                  </w:r>
                  <w:r>
                    <w:rPr>
                      <w:rFonts w:ascii="仿宋_GB2312" w:hAnsi="仿宋_GB2312" w:cs="仿宋_GB2312" w:eastAsia="仿宋_GB2312"/>
                      <w:sz w:val="18"/>
                      <w:color w:val="0000FF"/>
                    </w:rPr>
                    <w:t>5</w:t>
                  </w:r>
                  <w:r>
                    <w:rPr>
                      <w:rFonts w:ascii="仿宋_GB2312" w:hAnsi="仿宋_GB2312" w:cs="仿宋_GB2312" w:eastAsia="仿宋_GB2312"/>
                      <w:sz w:val="18"/>
                      <w:color w:val="0000FF"/>
                    </w:rPr>
                    <w:t>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设备复位</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关机与拆除</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正确关机、拆除信号</w:t>
                  </w:r>
                  <w:r>
                    <w:rPr>
                      <w:rFonts w:ascii="仿宋_GB2312" w:hAnsi="仿宋_GB2312" w:cs="仿宋_GB2312" w:eastAsia="仿宋_GB2312"/>
                      <w:sz w:val="18"/>
                      <w:color w:val="0000FF"/>
                    </w:rPr>
                    <w:t>/</w:t>
                  </w:r>
                  <w:r>
                    <w:rPr>
                      <w:rFonts w:ascii="仿宋_GB2312" w:hAnsi="仿宋_GB2312" w:cs="仿宋_GB2312" w:eastAsia="仿宋_GB2312"/>
                      <w:sz w:val="18"/>
                      <w:color w:val="0000FF"/>
                    </w:rPr>
                    <w:t>压力管路、参数复位</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未复位</w:t>
                  </w:r>
                  <w:r>
                    <w:rPr>
                      <w:rFonts w:ascii="仿宋_GB2312" w:hAnsi="仿宋_GB2312" w:cs="仿宋_GB2312" w:eastAsia="仿宋_GB2312"/>
                      <w:sz w:val="18"/>
                      <w:color w:val="0000FF"/>
                    </w:rPr>
                    <w:t>/</w:t>
                  </w:r>
                  <w:r>
                    <w:rPr>
                      <w:rFonts w:ascii="仿宋_GB2312" w:hAnsi="仿宋_GB2312" w:cs="仿宋_GB2312" w:eastAsia="仿宋_GB2312"/>
                      <w:sz w:val="18"/>
                      <w:color w:val="0000FF"/>
                    </w:rPr>
                    <w:t>拆除扣</w:t>
                  </w:r>
                  <w:r>
                    <w:rPr>
                      <w:rFonts w:ascii="仿宋_GB2312" w:hAnsi="仿宋_GB2312" w:cs="仿宋_GB2312" w:eastAsia="仿宋_GB2312"/>
                      <w:sz w:val="18"/>
                      <w:color w:val="0000FF"/>
                    </w:rPr>
                    <w:t>3</w:t>
                  </w:r>
                  <w:r>
                    <w:rPr>
                      <w:rFonts w:ascii="仿宋_GB2312" w:hAnsi="仿宋_GB2312" w:cs="仿宋_GB2312" w:eastAsia="仿宋_GB2312"/>
                      <w:sz w:val="18"/>
                      <w:color w:val="0000FF"/>
                    </w:rPr>
                    <w:t>-</w:t>
                  </w:r>
                  <w:r>
                    <w:rPr>
                      <w:rFonts w:ascii="仿宋_GB2312" w:hAnsi="仿宋_GB2312" w:cs="仿宋_GB2312" w:eastAsia="仿宋_GB2312"/>
                      <w:sz w:val="18"/>
                      <w:color w:val="0000FF"/>
                    </w:rPr>
                    <w:t>5</w:t>
                  </w:r>
                  <w:r>
                    <w:rPr>
                      <w:rFonts w:ascii="仿宋_GB2312" w:hAnsi="仿宋_GB2312" w:cs="仿宋_GB2312" w:eastAsia="仿宋_GB2312"/>
                      <w:sz w:val="18"/>
                      <w:color w:val="0000FF"/>
                    </w:rPr>
                    <w:t>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合计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100</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成交供应商按投标文件承诺完成服务期内设备计量检定校准工作，费用根据服务期内实际完成检定/校准的设备台数、项目类型据实结算；成交供应商提交全部合格检定/校准证书、全额合规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1.按《中华人民共和国民法典》中的相关条款执行。 2.未按合同要求提供服务或服务质量不能满足本次采购要求，甲方会同监督机构有权终止合同和对乙方违约行为进行追究，同时按中华人民共和国政府采购法的有关规定进行相应的处罚。 3.乙方应当按照合同约定的检定、校准方开展工作，按时出具结果证书/报告，不得延期，逾期超过10日，甲方有权解除合同，未按要求时限缴纳履约保证金，甲方有权解除合同；合同自甲方书面解除通知到达乙方时解除并要求乙方承担本合同总价款30%的违约金，甲方已经支付的款项，乙方应当全额退回。 争议的解决 本合同在履行过程中发生的争议，由甲、乙双方当事人协商解决。协商不成的依法向甲方所在地人民法院提起诉讼。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1.成交供应商在领取成交通知书时，须线下递交纸质版投标文件肆份、电子版壹份(投标文件内容与电子化交易平台上的内容一致)，纸质版投标文件在书脊处标注项目名称和项目编号。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专业技术能力：提供具有履行本合同所必需的设备和专业技术能力的承诺书；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存在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1.磋商响应文件上法定代表人或其授权代表人的签字齐全并加盖公章；2.应符合“磋商响应文件格式”要求；3.只能有一个有效报价，不得提交选择性报价，按磋商文件要求报价。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磋商响应文件内容齐全、无遗漏(除评标因素外）；</w:t>
            </w:r>
          </w:p>
        </w:tc>
        <w:tc>
          <w:tcPr>
            <w:tcW w:type="dxa" w:w="1661"/>
          </w:tcPr>
          <w:p>
            <w:pPr>
              <w:pStyle w:val="null3"/>
            </w:pPr>
            <w:r>
              <w:rPr>
                <w:rFonts w:ascii="仿宋_GB2312" w:hAnsi="仿宋_GB2312" w:cs="仿宋_GB2312" w:eastAsia="仿宋_GB2312"/>
              </w:rPr>
              <w:t>业绩一览表.docx 中小企业声明函 报价表 商务应答表.docx 承诺函.docx 供应商应提交的相关资格证明材料.docx 残疾人福利性单位声明函 供应商认为有必要说明的其他问题.docx 标的清单 服务要求偏离表.docx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1.要求全面响应，不能有任何采购人不能接受的附加条件；2.响应文件中服务期应满足磋商文件中要求的服务期；3.磋商有效期应满足磋商文件中的规定；</w:t>
            </w:r>
          </w:p>
        </w:tc>
        <w:tc>
          <w:tcPr>
            <w:tcW w:type="dxa" w:w="1661"/>
          </w:tcPr>
          <w:p>
            <w:pPr>
              <w:pStyle w:val="null3"/>
            </w:pPr>
            <w:r>
              <w:rPr>
                <w:rFonts w:ascii="仿宋_GB2312" w:hAnsi="仿宋_GB2312" w:cs="仿宋_GB2312" w:eastAsia="仿宋_GB2312"/>
              </w:rPr>
              <w:t>响应文件封面 业绩一览表.docx 供应商应提交的相关资格证明材料.docx 供应商认为有必要说明的其他问题.docx 标的清单 服务要求偏离表.docx 报价表 商务应答表.docx 响应函 承诺函.docx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在参加本次政府采购活动前3年内的经营活动没有重大违法记录。本公司法人、出资人、参股人无招标方在职工作人员。如有不实，我方将无条件地退出本项目的采购活动，并遵照《政府采购法》有关“提供虚假材料的规定”接受处罚。</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（1）投标响应内容是否出现漏项的情况；（2）其他实质性不符合的情况。</w:t>
            </w:r>
          </w:p>
        </w:tc>
        <w:tc>
          <w:tcPr>
            <w:tcW w:type="dxa" w:w="1661"/>
          </w:tcPr>
          <w:p>
            <w:pPr>
              <w:pStyle w:val="null3"/>
            </w:pPr>
            <w:r>
              <w:rPr>
                <w:rFonts w:ascii="仿宋_GB2312" w:hAnsi="仿宋_GB2312" w:cs="仿宋_GB2312" w:eastAsia="仿宋_GB2312"/>
              </w:rPr>
              <w:t>业绩一览表.docx 中小企业声明函 报价表 商务应答表.docx 承诺函.docx 响应文件封面 供应商应提交的相关资格证明材料.docx 残疾人福利性单位声明函 供应商认为有必要说明的其他问题.docx 标的清单 服务要求偏离表.docx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所有响应内容均满足磋商文件第三章“3.2.2服务要求”得16分，有一项不满足或负偏离的扣1分，扣完为止。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供应商提供针对本项目的实施方案。方案内容包括①非强检医用设备计量检定/校准②协助采购人建立完整计量管理台账等内容。 提供的上述2项内容完整可行得6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供应商提供针对本项目的检测质量保证措施。质量保证措施方案内容包括①检测质量保证计划及目标②检测过程质量保证措施③检测结果质量保证措④检测报告质量保证措施等内容。 提供的上述4项内容完整可行得12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供应商提供针对本项目的项目实施进度计划。进度计划方案内容包括①进度计划②分工安排等内容。 提供的上述2项内容完整可行得6分；每有一项未提供扣3分，扣完为止；每有一处有缺陷扣0.5分，扣完为止。(缺陷 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供应商提供针对本项目的售后服务方案。售后服务方案内容包括①售后服务范围及保障措施②应急保障方案③培训方案及培训计划等内容。 提供的上述3项内容完整可行得6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 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拟投入检测设备</w:t>
            </w:r>
          </w:p>
        </w:tc>
        <w:tc>
          <w:tcPr>
            <w:tcW w:type="dxa" w:w="2492"/>
          </w:tcPr>
          <w:p>
            <w:pPr>
              <w:pStyle w:val="null3"/>
            </w:pPr>
            <w:r>
              <w:rPr>
                <w:rFonts w:ascii="仿宋_GB2312" w:hAnsi="仿宋_GB2312" w:cs="仿宋_GB2312" w:eastAsia="仿宋_GB2312"/>
              </w:rPr>
              <w:t>应商提供针对本项目的拟投入检测设备，每提供一个检测设备的相应证明资料得0.5分，最高得5分。未提供不得分。 备注：拟投入检测设备的清单、图片及购买发票，缺项不得分。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服务响应能力</w:t>
            </w:r>
          </w:p>
        </w:tc>
        <w:tc>
          <w:tcPr>
            <w:tcW w:type="dxa" w:w="2492"/>
          </w:tcPr>
          <w:p>
            <w:pPr>
              <w:pStyle w:val="null3"/>
            </w:pPr>
            <w:r>
              <w:rPr>
                <w:rFonts w:ascii="仿宋_GB2312" w:hAnsi="仿宋_GB2312" w:cs="仿宋_GB2312" w:eastAsia="仿宋_GB2312"/>
              </w:rPr>
              <w:t>1.因医院业务特殊性，可提供7*24小时专人服务负责的得1分； 2.出现突发情况，需加急进行计量校准的设备，能在院方提出需求的1小时内做出响应，2小时内出具解决方案的得1分； 3.如紧急设备需取走至标准实验室检测，可在4-8小时内到达处理的得1分； 备注：提供承诺书，格式自拟。未提供不得分。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团队人员配备方案</w:t>
            </w:r>
          </w:p>
        </w:tc>
        <w:tc>
          <w:tcPr>
            <w:tcW w:type="dxa" w:w="2492"/>
          </w:tcPr>
          <w:p>
            <w:pPr>
              <w:pStyle w:val="null3"/>
            </w:pPr>
            <w:r>
              <w:rPr>
                <w:rFonts w:ascii="仿宋_GB2312" w:hAnsi="仿宋_GB2312" w:cs="仿宋_GB2312" w:eastAsia="仿宋_GB2312"/>
              </w:rPr>
              <w:t>根据供应商提供的项目团队人员配备，内容包括:①项目服务团队架构及工作人员投入计划②项目人员岗位划分及工作职责③项目人员管理制度等。 提供的上述3项内容完整可行得6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 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拟投入的团队人员</w:t>
            </w:r>
          </w:p>
        </w:tc>
        <w:tc>
          <w:tcPr>
            <w:tcW w:type="dxa" w:w="2492"/>
          </w:tcPr>
          <w:p>
            <w:pPr>
              <w:pStyle w:val="null3"/>
            </w:pPr>
            <w:r>
              <w:rPr>
                <w:rFonts w:ascii="仿宋_GB2312" w:hAnsi="仿宋_GB2312" w:cs="仿宋_GB2312" w:eastAsia="仿宋_GB2312"/>
              </w:rPr>
              <w:t>1、项目负责人具有一级注册计量师计2分； 2、项目组成员(项目负责人除外)具有一级注册计量师每提供一个计2分，具有二级注册计量师每提供一个得1分，本项最多得12分。 备注:提供相关证明材料以及近一年内任意一个月社保缴纳证明复印件并加盖公章，未提供以上人员相关证明材料的，不得分。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供应商提供自2023年1月1日起至响应截止时间止(以合同签订时间为准)类似项目的业绩。提供一个有效业绩得2分，满分12分。 备注:以加盖公章的业绩合同复印件为准，合同至少需包含合同首页、关键页、签章页。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即折扣最低）的供应商的价格为磋商基准价，其价格分为满分10分。（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