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5620A">
      <w:pPr>
        <w:pStyle w:val="4"/>
        <w:keepNext w:val="0"/>
        <w:keepLines w:val="0"/>
        <w:pageBreakBefore w:val="0"/>
        <w:kinsoku/>
        <w:wordWrap/>
        <w:overflowPunct/>
        <w:topLinePunct w:val="0"/>
        <w:autoSpaceDE/>
        <w:autoSpaceDN/>
        <w:bidi w:val="0"/>
        <w:spacing w:line="360" w:lineRule="auto"/>
        <w:jc w:val="center"/>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采购需求</w:t>
      </w:r>
    </w:p>
    <w:p w14:paraId="4F62C674">
      <w:pPr>
        <w:pStyle w:val="4"/>
        <w:keepNext w:val="0"/>
        <w:keepLines w:val="0"/>
        <w:pageBreakBefore w:val="0"/>
        <w:kinsoku/>
        <w:wordWrap/>
        <w:overflowPunct/>
        <w:topLinePunct w:val="0"/>
        <w:autoSpaceDE/>
        <w:autoSpaceDN/>
        <w:bidi w:val="0"/>
        <w:spacing w:line="360" w:lineRule="auto"/>
        <w:ind w:firstLine="402" w:firstLineChars="200"/>
        <w:jc w:val="left"/>
        <w:textAlignment w:val="auto"/>
        <w:rPr>
          <w:rFonts w:hint="eastAsia" w:ascii="仿宋" w:hAnsi="仿宋" w:eastAsia="仿宋" w:cs="仿宋"/>
          <w:b/>
          <w:bCs/>
          <w:highlight w:val="none"/>
        </w:rPr>
      </w:pPr>
      <w:r>
        <w:rPr>
          <w:rFonts w:hint="eastAsia" w:ascii="仿宋" w:hAnsi="仿宋" w:eastAsia="仿宋" w:cs="仿宋"/>
          <w:b/>
          <w:bCs/>
          <w:highlight w:val="none"/>
        </w:rPr>
        <w:t>一、项目背景</w:t>
      </w:r>
    </w:p>
    <w:p w14:paraId="1080884A">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按照“十三五”工程建设需求和《工业和信息化部无线电管理局关于无线电管理信息网升级改造的通知》（工无函［2020］257号）要求，国家无线电监测中心、国家无线电频谱管理中心（以下简称监测中心）在各省（区、市）无线电管理机构</w:t>
      </w:r>
      <w:bookmarkStart w:id="0" w:name="_GoBack"/>
      <w:bookmarkEnd w:id="0"/>
      <w:r>
        <w:rPr>
          <w:rFonts w:hint="eastAsia" w:ascii="仿宋" w:hAnsi="仿宋" w:eastAsia="仿宋" w:cs="仿宋"/>
          <w:highlight w:val="none"/>
        </w:rPr>
        <w:t>的配合支持下，于2020年开展了信息专网的升级改造工作，信息专网骨干网从“国家监测中心﹣省级机构”星型网络架构升级为“国家监测中心﹣区域分中心﹣省级机构”三层网络架构。信息专网以国家监测中心作为核心节点，北京、哈尔滨、上海、深圳、成都作为区域分中心节点，各省机构根据区域分布、线路延时等特点接入各区域分中心节点。</w:t>
      </w:r>
    </w:p>
    <w:p w14:paraId="40243156">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本次将继续采购租用陕西省无线电管理委员会（陕西西安市南二环西段老三届世纪星大厦）至北京分中心（北京西城区北礼士路80号）MSTP专线，链路专线传输带宽100Mbps。</w:t>
      </w:r>
    </w:p>
    <w:p w14:paraId="6A08D174">
      <w:pPr>
        <w:pStyle w:val="4"/>
        <w:keepNext w:val="0"/>
        <w:keepLines w:val="0"/>
        <w:pageBreakBefore w:val="0"/>
        <w:kinsoku/>
        <w:wordWrap/>
        <w:overflowPunct/>
        <w:topLinePunct w:val="0"/>
        <w:autoSpaceDE/>
        <w:autoSpaceDN/>
        <w:bidi w:val="0"/>
        <w:spacing w:line="360" w:lineRule="auto"/>
        <w:ind w:firstLine="402" w:firstLineChars="200"/>
        <w:jc w:val="left"/>
        <w:textAlignment w:val="auto"/>
        <w:rPr>
          <w:rFonts w:hint="eastAsia" w:ascii="仿宋" w:hAnsi="仿宋" w:eastAsia="仿宋" w:cs="仿宋"/>
          <w:b/>
          <w:bCs/>
          <w:highlight w:val="none"/>
        </w:rPr>
      </w:pPr>
      <w:r>
        <w:rPr>
          <w:rFonts w:hint="eastAsia" w:ascii="仿宋" w:hAnsi="仿宋" w:eastAsia="仿宋" w:cs="仿宋"/>
          <w:b/>
          <w:bCs/>
          <w:highlight w:val="none"/>
        </w:rPr>
        <w:t>二、服务要求</w:t>
      </w:r>
    </w:p>
    <w:p w14:paraId="7126D879">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1服务指标</w:t>
      </w:r>
    </w:p>
    <w:p w14:paraId="35C1D0D1">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1.1线路技术指标</w:t>
      </w:r>
    </w:p>
    <w:p w14:paraId="21EB75CF">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（1）提供MSTP等类型电路专线接入服务；</w:t>
      </w:r>
    </w:p>
    <w:p w14:paraId="1EC67225">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（2）电路可用率≥99.9%；</w:t>
      </w:r>
    </w:p>
    <w:p w14:paraId="36643541">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（3）误码率≤10E-7 或丢包率≤0.1%；</w:t>
      </w:r>
    </w:p>
    <w:p w14:paraId="51A876DC">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（4）本地线路延时≤10ms；</w:t>
      </w:r>
    </w:p>
    <w:p w14:paraId="4E5E1637">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（5）长途链路每100公里的延时增加≤1ms；</w:t>
      </w:r>
    </w:p>
    <w:p w14:paraId="3997328D">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（6）具备二次透传VLAN功能；</w:t>
      </w:r>
    </w:p>
    <w:p w14:paraId="331BD485">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（7）单次中断时间不超过2小时；</w:t>
      </w:r>
    </w:p>
    <w:p w14:paraId="67793B21">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（8）提供7*24小时的故障申告受理服务；</w:t>
      </w:r>
    </w:p>
    <w:p w14:paraId="53CFA28E">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（9）故障响应时间≤30分钟；</w:t>
      </w:r>
    </w:p>
    <w:p w14:paraId="0C1AE925">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1.2服务技术指标</w:t>
      </w:r>
    </w:p>
    <w:p w14:paraId="643340A8">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（1）服务持续性要求：通过技术手段和各项运维措施，达到服务技术指标中对线路服务质量的要求，避免因线路问题导致网络承载业务系统无法访问。</w:t>
      </w:r>
    </w:p>
    <w:p w14:paraId="0270022C">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（2）按时交付要求：在规定的履约时间内完成项目建设，提供各项服务。</w:t>
      </w:r>
    </w:p>
    <w:p w14:paraId="29C2453A">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（3）故障处理与应急响应要求:根据最终项目交付成果，提供完善的故障处理与应急响应机制，包括处理流程、反馈机制、与处理报告等内容。</w:t>
      </w:r>
    </w:p>
    <w:p w14:paraId="715E8C1F">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（4）故障响应率要求:提供7×24小时的故障响应服务，响应率100%。</w:t>
      </w:r>
    </w:p>
    <w:p w14:paraId="0364E600">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5）响应时间要求:提供快速响应服务和安全事件处置服务，针对提供的网络及配套支撑服务，因意外事故出现紧急情况时，所有服务节点的响应时间≤15分钟，到达故障现场时间≤2小时。降低事件造成的损失，避免事件的扩大化，针对该要求，制定响应方案，确保在所有节点能够快速响应，最短时间到达故障现场。</w:t>
      </w:r>
    </w:p>
    <w:p w14:paraId="5AD0236C">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（6）故障平均修复时间要求：</w:t>
      </w:r>
    </w:p>
    <w:p w14:paraId="0D335252">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一级故障：≤2小时（网络中断或业务无法正常使用）；</w:t>
      </w:r>
    </w:p>
    <w:p w14:paraId="49858DBC">
      <w:pPr>
        <w:pStyle w:val="4"/>
        <w:keepNext w:val="0"/>
        <w:keepLines w:val="0"/>
        <w:pageBreakBefore w:val="0"/>
        <w:kinsoku/>
        <w:wordWrap/>
        <w:overflowPunct/>
        <w:topLinePunct w:val="0"/>
        <w:autoSpaceDE/>
        <w:autoSpaceDN/>
        <w:bidi w:val="0"/>
        <w:spacing w:line="360" w:lineRule="auto"/>
        <w:ind w:firstLine="400" w:firstLineChars="200"/>
        <w:jc w:val="left"/>
        <w:textAlignment w:val="auto"/>
        <w:rPr>
          <w:rFonts w:hint="eastAsia" w:ascii="仿宋" w:hAnsi="仿宋" w:eastAsia="仿宋" w:cs="仿宋"/>
          <w:highlight w:val="none"/>
        </w:rPr>
      </w:pPr>
      <w:r>
        <w:rPr>
          <w:rFonts w:hint="eastAsia" w:ascii="仿宋" w:hAnsi="仿宋" w:eastAsia="仿宋" w:cs="仿宋"/>
          <w:highlight w:val="none"/>
        </w:rPr>
        <w:t>二级故障：≤4小时（非核心/重要网络中断）；</w:t>
      </w:r>
    </w:p>
    <w:p w14:paraId="65644DF6">
      <w:r>
        <w:rPr>
          <w:rFonts w:hint="eastAsia" w:ascii="仿宋" w:hAnsi="仿宋" w:eastAsia="仿宋" w:cs="仿宋"/>
          <w:highlight w:val="none"/>
        </w:rPr>
        <w:t>三级故障：≤8小时（网络性能受到影响）。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D4768C"/>
    <w:rsid w:val="61D476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2026-11-04T11:52:00Z</dcterms:created>
  <dc:creator>德仁招标</dc:creator>
  <cp:lastModifiedBy>德仁招标</cp:lastModifiedBy>
  <dcterms:modified xsi:type="dcterms:W3CDTF">2026-11-04T11:52:52Z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585412C74CAC4D098EA71272A6B8E4E8_11</vt:lpwstr>
  </property>
  <property fmtid="{D5CDD505-2E9C-101B-9397-08002B2CF9AE}" pid="4" name="KSOTemplateDocerSaveRecord">
    <vt:lpwstr>eyJoZGlkIjoiNzNmNDZlOGE4YzBiODhkNTY3NTdiYjNiMTljZmEwZTciLCJ1c2VySWQiOiIyNzQ5OTcwMTQifQ==</vt:lpwstr>
  </property>
</Properties>
</file>