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版本号：SXLX26-01-057Z(F)20260624001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草滩四路城市断头路打通工程初步设计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SXLX26-01-057Z(F)</w:t>
      </w:r>
      <w:r>
        <w:br/>
      </w:r>
      <w:r>
        <w:br/>
      </w:r>
      <w:r>
        <w:br/>
      </w:r>
    </w:p>
    <w:p>
      <w:pPr>
        <w:pStyle w:val="null3"/>
        <w:jc w:val="center"/>
        <w:outlineLvl w:val="2"/>
      </w:pPr>
      <w:r>
        <w:rPr>
          <w:rFonts w:ascii="仿宋_GB2312" w:hAnsi="仿宋_GB2312" w:cs="仿宋_GB2312" w:eastAsia="仿宋_GB2312"/>
          <w:sz w:val="28"/>
          <w:b/>
        </w:rPr>
        <w:t>西安市未央区住房和城市建设局</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西安市未央区住房和城市建设局</w:t>
      </w:r>
      <w:r>
        <w:rPr>
          <w:rFonts w:ascii="仿宋_GB2312" w:hAnsi="仿宋_GB2312" w:cs="仿宋_GB2312" w:eastAsia="仿宋_GB2312"/>
        </w:rPr>
        <w:t>委托，拟对</w:t>
      </w:r>
      <w:r>
        <w:rPr>
          <w:rFonts w:ascii="仿宋_GB2312" w:hAnsi="仿宋_GB2312" w:cs="仿宋_GB2312" w:eastAsia="仿宋_GB2312"/>
        </w:rPr>
        <w:t>草滩四路城市断头路打通工程初步设计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SXLX26-01-057Z(F)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草滩四路城市断头路打通工程初步设计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道路南起尚耕路，北至尚耘路，全线615.064米，标准段红线宽度40米，为双向4车道，渠化段红线宽度50米，为城市支路。建设主要内容包括道路工程、排水工程、交通工程、照明工程、高铁节点工程等。本次采购内容为根据区域划分的范围和要求，为草滩四路城市断头路打通工程提供初步设计，配合并促进采购人完成道路建设目标；各项服务符合国家、省、市（行业）强制性标准及采购人要求的合格标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采购包1（草滩四路城市断头路打通工程初步设计）：属于专门面向中小企业采购。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殊资格(行政许可)要求：供应商需具有工程设计综合资质甲级或市政行业工程设计乙级及以上资质或市政行业(燃气、轨道交通工程除外)设计乙级及以上资质或市政行业(道路工程)专业乙级及以上资质。(根据“资格证明文件”中提供的要求和说明，提供符合条件的证明材料)</w:t>
      </w:r>
    </w:p>
    <w:p>
      <w:pPr>
        <w:pStyle w:val="null3"/>
      </w:pPr>
      <w:r>
        <w:rPr>
          <w:rFonts w:ascii="仿宋_GB2312" w:hAnsi="仿宋_GB2312" w:cs="仿宋_GB2312" w:eastAsia="仿宋_GB2312"/>
        </w:rPr>
        <w:t>2、其他特殊资格(行政许可)要求 ：供应商的基本信息及拟派项目负责人的基本信息在“陕西省住房和城乡建设厅”（http://js.shaanxi.gov.cn/）或“陕西政务服务网”(https://zwfw.shaanxi.gov.cn/sx/public/index)官网可查询且无不良行为记录，并在各级建设诚信信息平台未被列为投标受限制的行为人或被列为严重违法失信企业名单(提供承诺)。 (根据“资格证明文件”中提供的要求和说明，提供符合条件的证明材料)</w:t>
      </w:r>
    </w:p>
    <w:p>
      <w:pPr>
        <w:pStyle w:val="null3"/>
      </w:pPr>
      <w:r>
        <w:rPr>
          <w:rFonts w:ascii="仿宋_GB2312" w:hAnsi="仿宋_GB2312" w:cs="仿宋_GB2312" w:eastAsia="仿宋_GB2312"/>
        </w:rPr>
        <w:t>3、供应商拟派项目负责人特殊资格(行政许可)要求：供应商拟派项目负责人须具备注册土木工程师(道路工程)或注册公用设备工程师(给水排水)执业资格(在本单位注册)。 (根据“资格证明文件”中提供的要求和说明，提供符合条件的证明材料)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西安市未央区住房和城市建设局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西安市未央区永祥路9号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吴晓娜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029-86249090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西安市雁塔区雁翔路111号赛格·中京坊6幢1单元2层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任甜、郑婧婧、杜航、李亚男、袁歆雨、刘晶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029-88489979-8106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采购包1：491,600.00元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关于进一步放开建设项目专项业务服务价格的通知》（发改价格〔2015〕299号）文件规定按壹万元收取，此服务费应计入响应报价中，但不需要单独开列，具体收费金额将在成交公告中公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西安市未央区住房和城市建设局</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西安市未央区住房和城市建设局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西安市未央区住房和城市建设局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（一）供应商保证对其出售的货物享有合法的权利且不会侵犯任何第三方的专利权、版权、商标权或其他权利。 （二）供应商保证对其出售的货物上不存在任何未曾向甲方透露的担保物权，如抵押权、质押权、留置权。 （三）如采购人在使用该货物构成上述侵权的，如出现侵犯第三方专利权、版权、商标权或其他权利，供应商承担全部责任和由此造成的一切损失，包括但不限于第三方权益补偿、采购人经济利益的减损、采购人为证实供应商之违约行为所支出的各项调查取证、公证费用，采购人为寻求救济而支付的诉讼费用、律师费用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按采购文件规定的方法和标准验收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联系人：任甜、郑婧婧、杜航</w:t>
      </w:r>
    </w:p>
    <w:p>
      <w:pPr>
        <w:pStyle w:val="null3"/>
      </w:pPr>
      <w:r>
        <w:rPr>
          <w:rFonts w:ascii="仿宋_GB2312" w:hAnsi="仿宋_GB2312" w:cs="仿宋_GB2312" w:eastAsia="仿宋_GB2312"/>
        </w:rPr>
        <w:t>联系电话：029-88489979-8106</w:t>
      </w:r>
    </w:p>
    <w:p>
      <w:pPr>
        <w:pStyle w:val="null3"/>
      </w:pPr>
      <w:r>
        <w:rPr>
          <w:rFonts w:ascii="仿宋_GB2312" w:hAnsi="仿宋_GB2312" w:cs="仿宋_GB2312" w:eastAsia="仿宋_GB2312"/>
        </w:rPr>
        <w:t>地址：西安市雁塔区雁翔路111号赛格·中京坊6幢1单元2层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道路南起尚耕路，北至尚耘路，全线615.064米，标准段红线宽度40米，为双向4车道，渠化段红线宽度50米，为城市支路。建设主要内容包括道路工程、排水工程、交通工程、照明工程、高铁节点工程等。本次采购内容为根据区域划分的范围和要求，为草滩四路城市断头路打通工程提供初步设计，配合并促进采购人完成道路建设目标；各项服务符合国家、省、市（行业）强制性标准及采购人要求的合格标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491,600.00</w:t>
      </w:r>
    </w:p>
    <w:p>
      <w:pPr>
        <w:pStyle w:val="null3"/>
      </w:pPr>
      <w:r>
        <w:rPr>
          <w:rFonts w:ascii="仿宋_GB2312" w:hAnsi="仿宋_GB2312" w:cs="仿宋_GB2312" w:eastAsia="仿宋_GB2312"/>
        </w:rPr>
        <w:t>采购包最高限价（元）: 491,600.00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草滩四路城市断头路打通工程初步设计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491,600.00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标的名称：草滩四路城市断头路打通工程初步设计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3"/>
                <w:b/>
                <w:color w:val="000000"/>
              </w:rPr>
              <w:t>1.服务内容(包含但不限于)：</w:t>
            </w:r>
          </w:p>
          <w:p>
            <w:pPr>
              <w:pStyle w:val="null3"/>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1</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编制</w:t>
            </w:r>
            <w:r>
              <w:rPr>
                <w:rFonts w:ascii="仿宋_GB2312" w:hAnsi="仿宋_GB2312" w:cs="仿宋_GB2312" w:eastAsia="仿宋_GB2312"/>
                <w:sz w:val="23"/>
                <w:b/>
                <w:color w:val="000000"/>
              </w:rPr>
              <w:t>初步设计方案</w:t>
            </w:r>
            <w:r>
              <w:rPr>
                <w:rFonts w:ascii="仿宋_GB2312" w:hAnsi="仿宋_GB2312" w:cs="仿宋_GB2312" w:eastAsia="仿宋_GB2312"/>
                <w:sz w:val="23"/>
                <w:b/>
                <w:color w:val="000000"/>
              </w:rPr>
              <w:t>；</w:t>
            </w:r>
          </w:p>
          <w:p>
            <w:pPr>
              <w:pStyle w:val="null3"/>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2</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编制初步</w:t>
            </w:r>
            <w:r>
              <w:rPr>
                <w:rFonts w:ascii="仿宋_GB2312" w:hAnsi="仿宋_GB2312" w:cs="仿宋_GB2312" w:eastAsia="仿宋_GB2312"/>
                <w:sz w:val="23"/>
                <w:b/>
                <w:color w:val="000000"/>
              </w:rPr>
              <w:t>工程投资概算</w:t>
            </w:r>
            <w:r>
              <w:rPr>
                <w:rFonts w:ascii="仿宋_GB2312" w:hAnsi="仿宋_GB2312" w:cs="仿宋_GB2312" w:eastAsia="仿宋_GB2312"/>
                <w:sz w:val="23"/>
                <w:b/>
                <w:color w:val="000000"/>
              </w:rPr>
              <w:t>；</w:t>
            </w:r>
          </w:p>
          <w:p>
            <w:pPr>
              <w:pStyle w:val="null3"/>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3）根据项目实际情况提出合理化建议；</w:t>
            </w:r>
          </w:p>
          <w:p>
            <w:pPr>
              <w:pStyle w:val="null3"/>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4）项目成果资料的汇编整理及项目过程资料收集整理；</w:t>
            </w:r>
          </w:p>
          <w:p>
            <w:pPr>
              <w:pStyle w:val="null3"/>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5）项目其他</w:t>
            </w:r>
            <w:r>
              <w:rPr>
                <w:rFonts w:ascii="仿宋_GB2312" w:hAnsi="仿宋_GB2312" w:cs="仿宋_GB2312" w:eastAsia="仿宋_GB2312"/>
                <w:sz w:val="23"/>
                <w:b/>
                <w:color w:val="000000"/>
              </w:rPr>
              <w:t>初步设计</w:t>
            </w:r>
            <w:r>
              <w:rPr>
                <w:rFonts w:ascii="仿宋_GB2312" w:hAnsi="仿宋_GB2312" w:cs="仿宋_GB2312" w:eastAsia="仿宋_GB2312"/>
                <w:sz w:val="23"/>
                <w:b/>
                <w:color w:val="000000"/>
              </w:rPr>
              <w:t>有关咨询的服务。</w:t>
            </w:r>
          </w:p>
          <w:p>
            <w:pPr>
              <w:pStyle w:val="null3"/>
              <w:jc w:val="both"/>
            </w:pPr>
            <w:r>
              <w:rPr>
                <w:rFonts w:ascii="仿宋_GB2312" w:hAnsi="仿宋_GB2312" w:cs="仿宋_GB2312" w:eastAsia="仿宋_GB2312"/>
                <w:sz w:val="23"/>
                <w:b/>
                <w:color w:val="000000"/>
              </w:rPr>
              <w:t>2.技术要求：</w:t>
            </w:r>
            <w:r>
              <w:rPr>
                <w:rFonts w:ascii="仿宋_GB2312" w:hAnsi="仿宋_GB2312" w:cs="仿宋_GB2312" w:eastAsia="仿宋_GB2312"/>
                <w:sz w:val="23"/>
                <w:b/>
                <w:color w:val="000000"/>
              </w:rPr>
              <w:t>具备开展道路建设可行性研究报告编制和初步设计的技术力量和经验，采取科学、严谨、针对性强的执行方案，按照国家法律法规的有关规定及操作规程做好项目的初步设计</w:t>
            </w:r>
            <w:r>
              <w:rPr>
                <w:rFonts w:ascii="仿宋_GB2312" w:hAnsi="仿宋_GB2312" w:cs="仿宋_GB2312" w:eastAsia="仿宋_GB2312"/>
                <w:sz w:val="23"/>
                <w:b/>
                <w:color w:val="000000"/>
              </w:rPr>
              <w:t>(代可研)，标准符合国家有关工程建设标准强制性条文和建设部门关于道路建设工程的标准、规范、规程、定额、办法、示例以及采购人要求，，技术规范包括但不限于：</w:t>
            </w:r>
          </w:p>
          <w:p>
            <w:pPr>
              <w:pStyle w:val="null3"/>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1）《市政公用工程设计文件深度规定》（2025 年版）</w:t>
            </w:r>
          </w:p>
          <w:p>
            <w:pPr>
              <w:pStyle w:val="null3"/>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2）《城市道路交通工程项目规范》（GB55011-2021）；</w:t>
            </w:r>
          </w:p>
          <w:p>
            <w:pPr>
              <w:pStyle w:val="null3"/>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3）《城市道路工程设计规范》（CJJ37-2012）（2016 年版）；</w:t>
            </w:r>
          </w:p>
          <w:p>
            <w:pPr>
              <w:pStyle w:val="null3"/>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4）《城镇道路路面设计规范》（CJJ169-2012）；</w:t>
            </w:r>
          </w:p>
          <w:p>
            <w:pPr>
              <w:pStyle w:val="null3"/>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5）《城市道路交叉口设计规程》（CJJ152-2010）</w:t>
            </w:r>
          </w:p>
          <w:p>
            <w:pPr>
              <w:pStyle w:val="null3"/>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6）《室外排水设计标准》（GB50014-2021）；</w:t>
            </w:r>
          </w:p>
          <w:p>
            <w:pPr>
              <w:pStyle w:val="null3"/>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7）《城市给水工程项目规范》（GB55026-2022）；</w:t>
            </w:r>
          </w:p>
          <w:p>
            <w:pPr>
              <w:pStyle w:val="null3"/>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8）《城乡排水工程项目规范》（GB55027-2022）；</w:t>
            </w:r>
          </w:p>
          <w:p>
            <w:pPr>
              <w:pStyle w:val="null3"/>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9）其他相关规标准。</w:t>
            </w:r>
          </w:p>
          <w:p>
            <w:pPr>
              <w:pStyle w:val="null3"/>
              <w:jc w:val="both"/>
            </w:pPr>
            <w:r>
              <w:rPr>
                <w:rFonts w:ascii="仿宋_GB2312" w:hAnsi="仿宋_GB2312" w:cs="仿宋_GB2312" w:eastAsia="仿宋_GB2312"/>
                <w:sz w:val="23"/>
                <w:b/>
                <w:color w:val="000000"/>
              </w:rPr>
              <w:t>3.</w:t>
            </w:r>
            <w:r>
              <w:rPr>
                <w:rFonts w:ascii="仿宋_GB2312" w:hAnsi="仿宋_GB2312" w:cs="仿宋_GB2312" w:eastAsia="仿宋_GB2312"/>
                <w:sz w:val="23"/>
                <w:b/>
                <w:color w:val="000000"/>
              </w:rPr>
              <w:t>设计原则及要求</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做到</w:t>
            </w:r>
            <w:r>
              <w:rPr>
                <w:rFonts w:ascii="仿宋_GB2312" w:hAnsi="仿宋_GB2312" w:cs="仿宋_GB2312" w:eastAsia="仿宋_GB2312"/>
                <w:sz w:val="23"/>
                <w:b/>
                <w:color w:val="000000"/>
              </w:rPr>
              <w:t>科学严谨、</w:t>
            </w:r>
            <w:r>
              <w:rPr>
                <w:rFonts w:ascii="仿宋_GB2312" w:hAnsi="仿宋_GB2312" w:cs="仿宋_GB2312" w:eastAsia="仿宋_GB2312"/>
                <w:sz w:val="23"/>
                <w:b/>
                <w:color w:val="000000"/>
              </w:rPr>
              <w:t>技术合理、经济合算、</w:t>
            </w:r>
            <w:r>
              <w:rPr>
                <w:rFonts w:ascii="仿宋_GB2312" w:hAnsi="仿宋_GB2312" w:cs="仿宋_GB2312" w:eastAsia="仿宋_GB2312"/>
                <w:sz w:val="23"/>
                <w:b/>
                <w:color w:val="000000"/>
              </w:rPr>
              <w:t>实施</w:t>
            </w:r>
            <w:r>
              <w:rPr>
                <w:rFonts w:ascii="仿宋_GB2312" w:hAnsi="仿宋_GB2312" w:cs="仿宋_GB2312" w:eastAsia="仿宋_GB2312"/>
                <w:sz w:val="23"/>
                <w:b/>
                <w:color w:val="000000"/>
              </w:rPr>
              <w:t>可靠，按不低于我市基础设施的平均水平实施初步设计</w:t>
            </w:r>
            <w:r>
              <w:rPr>
                <w:rFonts w:ascii="仿宋_GB2312" w:hAnsi="仿宋_GB2312" w:cs="仿宋_GB2312" w:eastAsia="仿宋_GB2312"/>
                <w:sz w:val="23"/>
                <w:b/>
                <w:color w:val="000000"/>
              </w:rPr>
              <w:t>和可行性研究</w:t>
            </w:r>
            <w:r>
              <w:rPr>
                <w:rFonts w:ascii="仿宋_GB2312" w:hAnsi="仿宋_GB2312" w:cs="仿宋_GB2312" w:eastAsia="仿宋_GB2312"/>
                <w:sz w:val="23"/>
                <w:b/>
                <w:color w:val="000000"/>
              </w:rPr>
              <w:t>，保证道路建设</w:t>
            </w:r>
            <w:r>
              <w:rPr>
                <w:rFonts w:ascii="仿宋_GB2312" w:hAnsi="仿宋_GB2312" w:cs="仿宋_GB2312" w:eastAsia="仿宋_GB2312"/>
                <w:sz w:val="23"/>
                <w:b/>
                <w:color w:val="000000"/>
              </w:rPr>
              <w:t>流程和步骤</w:t>
            </w:r>
            <w:r>
              <w:rPr>
                <w:rFonts w:ascii="仿宋_GB2312" w:hAnsi="仿宋_GB2312" w:cs="仿宋_GB2312" w:eastAsia="仿宋_GB2312"/>
                <w:sz w:val="23"/>
                <w:b/>
                <w:color w:val="000000"/>
              </w:rPr>
              <w:t>符合标准、正常</w:t>
            </w:r>
            <w:r>
              <w:rPr>
                <w:rFonts w:ascii="仿宋_GB2312" w:hAnsi="仿宋_GB2312" w:cs="仿宋_GB2312" w:eastAsia="仿宋_GB2312"/>
                <w:sz w:val="23"/>
                <w:b/>
                <w:color w:val="000000"/>
              </w:rPr>
              <w:t>实施</w:t>
            </w:r>
            <w:r>
              <w:rPr>
                <w:rFonts w:ascii="仿宋_GB2312" w:hAnsi="仿宋_GB2312" w:cs="仿宋_GB2312" w:eastAsia="仿宋_GB2312"/>
                <w:sz w:val="23"/>
                <w:b/>
                <w:color w:val="000000"/>
              </w:rPr>
              <w:t>。</w:t>
            </w:r>
          </w:p>
          <w:p>
            <w:pPr>
              <w:pStyle w:val="null3"/>
              <w:jc w:val="both"/>
            </w:pPr>
            <w:r>
              <w:rPr>
                <w:rFonts w:ascii="仿宋_GB2312" w:hAnsi="仿宋_GB2312" w:cs="仿宋_GB2312" w:eastAsia="仿宋_GB2312"/>
                <w:sz w:val="23"/>
                <w:b/>
                <w:color w:val="000000"/>
              </w:rPr>
              <w:t>4.</w:t>
            </w:r>
            <w:r>
              <w:rPr>
                <w:rFonts w:ascii="仿宋_GB2312" w:hAnsi="仿宋_GB2312" w:cs="仿宋_GB2312" w:eastAsia="仿宋_GB2312"/>
                <w:sz w:val="23"/>
                <w:b/>
                <w:color w:val="000000"/>
              </w:rPr>
              <w:t>进度要求：通过采取组织、技术、经济</w:t>
            </w:r>
            <w:r>
              <w:rPr>
                <w:rFonts w:ascii="仿宋_GB2312" w:hAnsi="仿宋_GB2312" w:cs="仿宋_GB2312" w:eastAsia="仿宋_GB2312"/>
                <w:sz w:val="23"/>
                <w:b/>
                <w:color w:val="000000"/>
              </w:rPr>
              <w:t>等</w:t>
            </w:r>
            <w:r>
              <w:rPr>
                <w:rFonts w:ascii="仿宋_GB2312" w:hAnsi="仿宋_GB2312" w:cs="仿宋_GB2312" w:eastAsia="仿宋_GB2312"/>
                <w:sz w:val="23"/>
                <w:b/>
                <w:color w:val="000000"/>
              </w:rPr>
              <w:t>控制措施将项目实施进度控制在采购人所要求的合理时间节点内。</w:t>
            </w:r>
          </w:p>
          <w:p>
            <w:pPr>
              <w:pStyle w:val="null3"/>
              <w:jc w:val="left"/>
            </w:pPr>
            <w:r>
              <w:rPr>
                <w:rFonts w:ascii="仿宋_GB2312" w:hAnsi="仿宋_GB2312" w:cs="仿宋_GB2312" w:eastAsia="仿宋_GB2312"/>
                <w:sz w:val="23"/>
                <w:b/>
                <w:color w:val="000000"/>
              </w:rPr>
              <w:t>5.成果要求：</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1）</w:t>
            </w:r>
            <w:r>
              <w:rPr>
                <w:rFonts w:ascii="仿宋_GB2312" w:hAnsi="仿宋_GB2312" w:cs="仿宋_GB2312" w:eastAsia="仿宋_GB2312"/>
                <w:sz w:val="23"/>
                <w:b/>
                <w:color w:val="000000"/>
              </w:rPr>
              <w:t>成果内容应完整真实、科学严谨、思路清晰、具有代表性，综合考虑道路建设</w:t>
            </w:r>
            <w:r>
              <w:rPr>
                <w:rFonts w:ascii="仿宋_GB2312" w:hAnsi="仿宋_GB2312" w:cs="仿宋_GB2312" w:eastAsia="仿宋_GB2312"/>
                <w:sz w:val="23"/>
                <w:b/>
                <w:color w:val="000000"/>
              </w:rPr>
              <w:t>的</w:t>
            </w:r>
            <w:r>
              <w:rPr>
                <w:rFonts w:ascii="仿宋_GB2312" w:hAnsi="仿宋_GB2312" w:cs="仿宋_GB2312" w:eastAsia="仿宋_GB2312"/>
                <w:sz w:val="23"/>
                <w:b/>
                <w:color w:val="000000"/>
              </w:rPr>
              <w:t>功能和潜力，提出</w:t>
            </w:r>
            <w:r>
              <w:rPr>
                <w:rFonts w:ascii="仿宋_GB2312" w:hAnsi="仿宋_GB2312" w:cs="仿宋_GB2312" w:eastAsia="仿宋_GB2312"/>
                <w:sz w:val="23"/>
                <w:b/>
                <w:color w:val="000000"/>
              </w:rPr>
              <w:t>建设</w:t>
            </w:r>
            <w:r>
              <w:rPr>
                <w:rFonts w:ascii="仿宋_GB2312" w:hAnsi="仿宋_GB2312" w:cs="仿宋_GB2312" w:eastAsia="仿宋_GB2312"/>
                <w:sz w:val="23"/>
                <w:b/>
                <w:color w:val="000000"/>
              </w:rPr>
              <w:t>实施详细规划</w:t>
            </w:r>
            <w:r>
              <w:rPr>
                <w:rFonts w:ascii="仿宋_GB2312" w:hAnsi="仿宋_GB2312" w:cs="仿宋_GB2312" w:eastAsia="仿宋_GB2312"/>
                <w:sz w:val="23"/>
                <w:b/>
                <w:color w:val="000000"/>
              </w:rPr>
              <w:t>和可行性</w:t>
            </w:r>
            <w:r>
              <w:rPr>
                <w:rFonts w:ascii="仿宋_GB2312" w:hAnsi="仿宋_GB2312" w:cs="仿宋_GB2312" w:eastAsia="仿宋_GB2312"/>
                <w:sz w:val="23"/>
                <w:b/>
                <w:color w:val="000000"/>
              </w:rPr>
              <w:t>优化方案</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符合新形势、新变化、</w:t>
            </w:r>
            <w:r>
              <w:rPr>
                <w:rFonts w:ascii="仿宋_GB2312" w:hAnsi="仿宋_GB2312" w:cs="仿宋_GB2312" w:eastAsia="仿宋_GB2312"/>
                <w:sz w:val="23"/>
                <w:b/>
                <w:color w:val="000000"/>
              </w:rPr>
              <w:t>新</w:t>
            </w:r>
            <w:r>
              <w:rPr>
                <w:rFonts w:ascii="仿宋_GB2312" w:hAnsi="仿宋_GB2312" w:cs="仿宋_GB2312" w:eastAsia="仿宋_GB2312"/>
                <w:sz w:val="23"/>
                <w:b/>
                <w:color w:val="000000"/>
              </w:rPr>
              <w:t>发展下道路建设</w:t>
            </w:r>
            <w:r>
              <w:rPr>
                <w:rFonts w:ascii="仿宋_GB2312" w:hAnsi="仿宋_GB2312" w:cs="仿宋_GB2312" w:eastAsia="仿宋_GB2312"/>
                <w:sz w:val="23"/>
                <w:b/>
                <w:color w:val="000000"/>
              </w:rPr>
              <w:t>。</w:t>
            </w:r>
          </w:p>
          <w:p>
            <w:pPr>
              <w:pStyle w:val="null3"/>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2</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成果</w:t>
            </w:r>
            <w:r>
              <w:rPr>
                <w:rFonts w:ascii="仿宋_GB2312" w:hAnsi="仿宋_GB2312" w:cs="仿宋_GB2312" w:eastAsia="仿宋_GB2312"/>
                <w:sz w:val="23"/>
                <w:b/>
                <w:color w:val="000000"/>
              </w:rPr>
              <w:t>文件包括：</w:t>
            </w:r>
            <w:r>
              <w:rPr>
                <w:rFonts w:ascii="仿宋_GB2312" w:hAnsi="仿宋_GB2312" w:cs="仿宋_GB2312" w:eastAsia="仿宋_GB2312"/>
                <w:sz w:val="23"/>
                <w:b/>
                <w:color w:val="000000"/>
              </w:rPr>
              <w:t>初步设计说明、初步设计方案图、工程投资概算</w:t>
            </w:r>
            <w:r>
              <w:rPr>
                <w:rFonts w:ascii="仿宋_GB2312" w:hAnsi="仿宋_GB2312" w:cs="仿宋_GB2312" w:eastAsia="仿宋_GB2312"/>
                <w:sz w:val="23"/>
                <w:b/>
                <w:color w:val="000000"/>
              </w:rPr>
              <w:t>等，所有成果</w:t>
            </w:r>
            <w:r>
              <w:rPr>
                <w:rFonts w:ascii="仿宋_GB2312" w:hAnsi="仿宋_GB2312" w:cs="仿宋_GB2312" w:eastAsia="仿宋_GB2312"/>
                <w:sz w:val="23"/>
                <w:b/>
                <w:color w:val="000000"/>
              </w:rPr>
              <w:t>初稿</w:t>
            </w:r>
            <w:r>
              <w:rPr>
                <w:rFonts w:ascii="仿宋_GB2312" w:hAnsi="仿宋_GB2312" w:cs="仿宋_GB2312" w:eastAsia="仿宋_GB2312"/>
                <w:sz w:val="23"/>
                <w:b/>
                <w:color w:val="000000"/>
              </w:rPr>
              <w:t>完成</w:t>
            </w:r>
            <w:r>
              <w:rPr>
                <w:rFonts w:ascii="仿宋_GB2312" w:hAnsi="仿宋_GB2312" w:cs="仿宋_GB2312" w:eastAsia="仿宋_GB2312"/>
                <w:sz w:val="23"/>
                <w:b/>
                <w:color w:val="000000"/>
              </w:rPr>
              <w:t>后应按</w:t>
            </w:r>
            <w:r>
              <w:rPr>
                <w:rFonts w:ascii="仿宋_GB2312" w:hAnsi="仿宋_GB2312" w:cs="仿宋_GB2312" w:eastAsia="仿宋_GB2312"/>
                <w:sz w:val="23"/>
                <w:b/>
                <w:color w:val="000000"/>
              </w:rPr>
              <w:t>采购人</w:t>
            </w:r>
            <w:r>
              <w:rPr>
                <w:rFonts w:ascii="仿宋_GB2312" w:hAnsi="仿宋_GB2312" w:cs="仿宋_GB2312" w:eastAsia="仿宋_GB2312"/>
                <w:sz w:val="23"/>
                <w:b/>
                <w:color w:val="000000"/>
              </w:rPr>
              <w:t>提出的审查意见和修改意见进行修改，直至获得有关主管部门审批通过</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本项目所完成的编制成果的所有权、知识产权归</w:t>
            </w:r>
            <w:r>
              <w:rPr>
                <w:rFonts w:ascii="仿宋_GB2312" w:hAnsi="仿宋_GB2312" w:cs="仿宋_GB2312" w:eastAsia="仿宋_GB2312"/>
                <w:sz w:val="23"/>
                <w:b/>
                <w:color w:val="000000"/>
              </w:rPr>
              <w:t>采购人</w:t>
            </w:r>
            <w:r>
              <w:rPr>
                <w:rFonts w:ascii="仿宋_GB2312" w:hAnsi="仿宋_GB2312" w:cs="仿宋_GB2312" w:eastAsia="仿宋_GB2312"/>
                <w:sz w:val="23"/>
                <w:b/>
                <w:color w:val="000000"/>
              </w:rPr>
              <w:t>。</w:t>
            </w:r>
          </w:p>
          <w:p>
            <w:pPr>
              <w:pStyle w:val="null3"/>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3</w:t>
            </w:r>
            <w:r>
              <w:rPr>
                <w:rFonts w:ascii="仿宋_GB2312" w:hAnsi="仿宋_GB2312" w:cs="仿宋_GB2312" w:eastAsia="仿宋_GB2312"/>
                <w:sz w:val="23"/>
                <w:b/>
                <w:color w:val="000000"/>
              </w:rPr>
              <w:t>）所有提供资料包括：</w:t>
            </w:r>
            <w:r>
              <w:rPr>
                <w:rFonts w:ascii="仿宋_GB2312" w:hAnsi="仿宋_GB2312" w:cs="仿宋_GB2312" w:eastAsia="仿宋_GB2312"/>
                <w:sz w:val="23"/>
                <w:b/>
                <w:color w:val="000000"/>
              </w:rPr>
              <w:t>①纸质成果印刷</w:t>
            </w:r>
            <w:r>
              <w:rPr>
                <w:rFonts w:ascii="仿宋_GB2312" w:hAnsi="仿宋_GB2312" w:cs="仿宋_GB2312" w:eastAsia="仿宋_GB2312"/>
                <w:sz w:val="23"/>
                <w:b/>
                <w:color w:val="000000"/>
              </w:rPr>
              <w:t>一</w:t>
            </w:r>
            <w:r>
              <w:rPr>
                <w:rFonts w:ascii="仿宋_GB2312" w:hAnsi="仿宋_GB2312" w:cs="仿宋_GB2312" w:eastAsia="仿宋_GB2312"/>
                <w:sz w:val="23"/>
                <w:b/>
                <w:color w:val="000000"/>
              </w:rPr>
              <w:t>份；</w:t>
            </w:r>
            <w:r>
              <w:rPr>
                <w:rFonts w:ascii="仿宋_GB2312" w:hAnsi="仿宋_GB2312" w:cs="仿宋_GB2312" w:eastAsia="仿宋_GB2312"/>
                <w:sz w:val="23"/>
                <w:b/>
                <w:color w:val="000000"/>
              </w:rPr>
              <w:t>②电子成果为与纸质成果相对应的电子文档（pdf格式）。</w:t>
            </w:r>
          </w:p>
          <w:p>
            <w:pPr>
              <w:pStyle w:val="null3"/>
              <w:jc w:val="left"/>
            </w:pPr>
            <w:r>
              <w:rPr>
                <w:rFonts w:ascii="仿宋_GB2312" w:hAnsi="仿宋_GB2312" w:cs="仿宋_GB2312" w:eastAsia="仿宋_GB2312"/>
                <w:sz w:val="23"/>
                <w:b/>
                <w:color w:val="000000"/>
              </w:rPr>
              <w:t>6.服务</w:t>
            </w:r>
            <w:r>
              <w:rPr>
                <w:rFonts w:ascii="仿宋_GB2312" w:hAnsi="仿宋_GB2312" w:cs="仿宋_GB2312" w:eastAsia="仿宋_GB2312"/>
                <w:sz w:val="23"/>
                <w:b/>
                <w:color w:val="000000"/>
              </w:rPr>
              <w:t>要求：（</w:t>
            </w:r>
            <w:r>
              <w:rPr>
                <w:rFonts w:ascii="仿宋_GB2312" w:hAnsi="仿宋_GB2312" w:cs="仿宋_GB2312" w:eastAsia="仿宋_GB2312"/>
                <w:sz w:val="23"/>
                <w:b/>
                <w:color w:val="000000"/>
              </w:rPr>
              <w:t>1）服务方须指派专属人员与采购人联系服务事宜，服务响应时间应根据采购人实际安排随时调整。</w:t>
            </w:r>
          </w:p>
          <w:p>
            <w:pPr>
              <w:pStyle w:val="null3"/>
              <w:jc w:val="left"/>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2）服务方需根据服务实际情况编制服务方案、管理方案、服务计划、</w:t>
            </w:r>
            <w:r>
              <w:rPr>
                <w:rFonts w:ascii="仿宋_GB2312" w:hAnsi="仿宋_GB2312" w:cs="仿宋_GB2312" w:eastAsia="仿宋_GB2312"/>
                <w:sz w:val="23"/>
                <w:b/>
                <w:color w:val="000000"/>
              </w:rPr>
              <w:t>重点难点分析</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质量控制、后续服务</w:t>
            </w:r>
            <w:r>
              <w:rPr>
                <w:rFonts w:ascii="仿宋_GB2312" w:hAnsi="仿宋_GB2312" w:cs="仿宋_GB2312" w:eastAsia="仿宋_GB2312"/>
                <w:sz w:val="23"/>
                <w:b/>
                <w:color w:val="000000"/>
              </w:rPr>
              <w:t>等方案措施。</w:t>
            </w:r>
          </w:p>
          <w:p>
            <w:pPr>
              <w:pStyle w:val="null3"/>
              <w:jc w:val="left"/>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3</w:t>
            </w:r>
            <w:r>
              <w:rPr>
                <w:rFonts w:ascii="仿宋_GB2312" w:hAnsi="仿宋_GB2312" w:cs="仿宋_GB2312" w:eastAsia="仿宋_GB2312"/>
                <w:sz w:val="23"/>
                <w:b/>
                <w:color w:val="000000"/>
              </w:rPr>
              <w:t>）服务过程中，严格遵守各种管理规定及规章制度，做到奉公守法、诚实守信、廉洁自律、安全文明；服务过程中如发生工伤及意外事故由服务单位负责。</w:t>
            </w:r>
          </w:p>
          <w:p>
            <w:pPr>
              <w:pStyle w:val="null3"/>
              <w:jc w:val="left"/>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4</w:t>
            </w:r>
            <w:r>
              <w:rPr>
                <w:rFonts w:ascii="仿宋_GB2312" w:hAnsi="仿宋_GB2312" w:cs="仿宋_GB2312" w:eastAsia="仿宋_GB2312"/>
                <w:sz w:val="23"/>
                <w:b/>
                <w:color w:val="000000"/>
              </w:rPr>
              <w:t>）服务方拟投入的服务人员对于在工作中获悉的一切政府工作的信息应严格保守秘密，不得泄露；对于违反者，给采购人单位造成不良社会影响的，或给采购人单位造成损失的，由服务方承担赔偿责任。</w:t>
            </w:r>
          </w:p>
          <w:p>
            <w:pPr>
              <w:pStyle w:val="null3"/>
              <w:jc w:val="left"/>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5</w:t>
            </w:r>
            <w:r>
              <w:rPr>
                <w:rFonts w:ascii="仿宋_GB2312" w:hAnsi="仿宋_GB2312" w:cs="仿宋_GB2312" w:eastAsia="仿宋_GB2312"/>
                <w:sz w:val="23"/>
                <w:b/>
                <w:color w:val="000000"/>
              </w:rPr>
              <w:t>）严格按照国家、陕西省、西安市有关规定及采购人要求进行服务，不得随意更改或者变换服务内容，每项服务内容实施前应事先取得采购人的落实后方可实施</w:t>
            </w:r>
            <w:r>
              <w:rPr>
                <w:rFonts w:ascii="仿宋_GB2312" w:hAnsi="仿宋_GB2312" w:cs="仿宋_GB2312" w:eastAsia="仿宋_GB2312"/>
                <w:sz w:val="23"/>
                <w:b/>
                <w:color w:val="000000"/>
              </w:rPr>
              <w:t>。</w:t>
            </w:r>
          </w:p>
          <w:p>
            <w:pPr>
              <w:pStyle w:val="null3"/>
              <w:jc w:val="left"/>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6</w:t>
            </w:r>
            <w:r>
              <w:rPr>
                <w:rFonts w:ascii="仿宋_GB2312" w:hAnsi="仿宋_GB2312" w:cs="仿宋_GB2312" w:eastAsia="仿宋_GB2312"/>
                <w:sz w:val="23"/>
                <w:b/>
                <w:color w:val="000000"/>
              </w:rPr>
              <w:t>）配合促进采购人安排的其他相关工作</w:t>
            </w:r>
            <w:r>
              <w:rPr>
                <w:rFonts w:ascii="仿宋_GB2312" w:hAnsi="仿宋_GB2312" w:cs="仿宋_GB2312" w:eastAsia="仿宋_GB2312"/>
                <w:sz w:val="23"/>
                <w:b/>
                <w:color w:val="000000"/>
              </w:rPr>
              <w:t>。</w:t>
            </w:r>
          </w:p>
          <w:p>
            <w:pPr>
              <w:pStyle w:val="null3"/>
              <w:jc w:val="left"/>
            </w:pPr>
            <w:r>
              <w:rPr>
                <w:rFonts w:ascii="仿宋_GB2312" w:hAnsi="仿宋_GB2312" w:cs="仿宋_GB2312" w:eastAsia="仿宋_GB2312"/>
                <w:sz w:val="23"/>
                <w:b/>
                <w:color w:val="000000"/>
              </w:rPr>
              <w:t>7.服务标准：</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1）各项服务符合国家、省、市（行业）强制性标准及采购人要求的合格标准。</w:t>
            </w:r>
          </w:p>
          <w:p>
            <w:pPr>
              <w:pStyle w:val="null3"/>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2）服务、产品（如有）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商根据服务要求及特性，自行配置履行合同所必需的专业服务团队(不限于项目负责人、管理人员、技术人员、设计人员、编制人员、辅助人员等)，自行组织实施与管理，相关人员经过严格培训，具有相关工作经验，技术水平高、能够胜任项目工作。服务队伍稳定，保证整个项目顺利完成，服务方未经采购人同意，不得擅自更换本项目在响应文件中指定的服务队伍。</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服务商根据项目特性及要求，自行配置投入履行合同所必需的各类设施设备(不限于专业设备、辅助设备、工具、软件等)，保证项目顺利实施。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按总价进行报价。是供应商响应磋商项目要求的全部工作内容的价格体现，包括供应商完成本项目所需的直接费用、间接费、利润、税金及其它相关的一切费用，包括但不限于：设计费、人工费、设备使用费、资料费、管理费、评审费、利润、税金及不可预见费等全部费用；在提供服务的过程中的任何遗漏，均由成交供应商免费提供，采购人将不再支付任何费用。 （二）本项目标的所属行业为： 其他未列明行业 （从业人员300人以下的为中小微型企业。其中，从业人员100人及以上的为中型企业；从业人员10人及以上的为小型企业；从业人员10人以下的为微型企业）。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西安市未央区住房和城市建设局(具体按采购人指定地点)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采购人根据磋商文件、合同等相关文件，进行验收，确认服务内容、服务标准和服务方式等是否达到采购要求。服务商须接受采购人对相关服务的各类考核或检查；若服务结果验收不通过或质量不符合采购要求，服务商应在一定期限内以采购人要求的标准进行整改或完善，并再次进行考核或检查，若服务商在接受检查整改后最终仍未按要求提供符合要求的服务，采购人有权按违约予以撤项，由此产生的一切责任和费用均由服务商承担，具体按拟签订采购合同相关条款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生效，服务方开始服务，待初步设计(付款前服务方应出具等值发票交至采购人，采购人以银行转账方式支付，其他具体按拟签订采购合同相关条款执行)通过购人评审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具体按拟签订采购合同相关条款执行。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(一)磋商有效期： 1.出现特殊情况需要延长磋商有效期的，采购代理机构或采购人可于磋商有效期满之前，以书面形式通知所有供应商延长磋商有效期。 2.在磋商有效期内，供应商撤销响应文件的，应承担磋商文件和法律规定的责任。 3.成交供应商的磋商有效期自动延长至合同终止为止。 (二)合格供应商少于3家的处理：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2.评审过程中，除符合第1条条款规定情形外，若出现合格供应商少于3家时，采购人应依法重新组织采购活动。 (三)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(四)供应商的电子响应文件中的所有文字资料、图纸、数据、方案、证书、检测报告等响应内容应清晰可辨，表达意思统一，便于查找，供应商自行承担资料模糊不清、无法辨认的不利后果。 (五)文件中签名是指：手写签名或加盖签名章（含电子章、印章、签名章），盖章是指加盖单位公章（含电子章）。 (六)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到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 (七)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需提供纸质响应文件两套用于备案，纸质响应文件应通过专用制作软件直接打印(自定单双面、黑白/彩色)，确保与项目电子化交易系统中的电子响应文件保持一致，不允许修改和补充。中标（成交）通知书领取地址：西安市雁塔区雁翔路111号赛格·中京坊6幢1（公寓A1）单元2层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说明：①供应商需在项目电子化交易系统中按要求填写《响应函》完成承诺并进行电子签章，并按响应文件格式中的“资格证明文件”中的相关要求提供一套完整的资格证明材料。②信用查询、控股管理关系及关联关系将结合响应截止日资格审查小组现场查询的结果进行综合判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法定代表人（单位负责人）委托授权书及被授权人在响应文件提交截止时间前6个月内任意时段在本单位注册的已缴纳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供应商具有良好的商业信誉和健全的财务会计制度。</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供应商具有依法缴纳税收和社会保障资金的良好记录。</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承接服务的供应商应为符合政策要求的中小企业或残疾人福利性单位或监狱企业。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供应商特殊资格(行政许可)要求</w:t>
            </w:r>
          </w:p>
        </w:tc>
        <w:tc>
          <w:tcPr>
            <w:tcW w:type="dxa" w:w="3322"/>
          </w:tcPr>
          <w:p>
            <w:pPr>
              <w:pStyle w:val="null3"/>
            </w:pPr>
            <w:r>
              <w:rPr>
                <w:rFonts w:ascii="仿宋_GB2312" w:hAnsi="仿宋_GB2312" w:cs="仿宋_GB2312" w:eastAsia="仿宋_GB2312"/>
              </w:rPr>
              <w:t>供应商需具有工程设计综合资质甲级或市政行业工程设计乙级及以上资质或市政行业(燃气、轨道交通工程除外)设计乙级及以上资质或市政行业(道路工程)专业乙级及以上资质。(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其他特殊资格(行政许可)要求</w:t>
            </w:r>
          </w:p>
        </w:tc>
        <w:tc>
          <w:tcPr>
            <w:tcW w:type="dxa" w:w="3322"/>
          </w:tcPr>
          <w:p>
            <w:pPr>
              <w:pStyle w:val="null3"/>
            </w:pPr>
            <w:r>
              <w:rPr>
                <w:rFonts w:ascii="仿宋_GB2312" w:hAnsi="仿宋_GB2312" w:cs="仿宋_GB2312" w:eastAsia="仿宋_GB2312"/>
              </w:rPr>
              <w:t>供应商的基本信息及拟派项目负责人的基本信息在“陕西省住房和城乡建设厅”（http://js.shaanxi.gov.cn/）或“陕西政务服务网”(https://zwfw.shaanxi.gov.cn/sx/public/index)官网可查询且无不良行为记录，并在各级建设诚信信息平台未被列为投标受限制的行为人或被列为严重违法失信企业名单(提供承诺)。 (根据“资格证明文件”中提供的要求和说明，提供符合条件的证明材料)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供应商拟派项目负责人特殊资格(行政许可)要求</w:t>
            </w:r>
          </w:p>
        </w:tc>
        <w:tc>
          <w:tcPr>
            <w:tcW w:type="dxa" w:w="3322"/>
          </w:tcPr>
          <w:p>
            <w:pPr>
              <w:pStyle w:val="null3"/>
            </w:pPr>
            <w:r>
              <w:rPr>
                <w:rFonts w:ascii="仿宋_GB2312" w:hAnsi="仿宋_GB2312" w:cs="仿宋_GB2312" w:eastAsia="仿宋_GB2312"/>
              </w:rPr>
              <w:t>供应商拟派项目负责人须具备注册土木工程师(道路工程)或注册公用设备工程师(给水排水)执业资格(在本单位注册)。 (根据“资格证明文件”中提供的要求和说明，提供符合条件的证明材料)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响应函符合采购文件中签名盖章要求。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商务、技术文件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服务期限、服务地点、服务标准</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商务、技术文件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响应文件内容齐全、无遗漏，符合采购文件中的实质性条款要求，且未含有采购人不能接受的附加条件。</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符合采购文件中规定的有效期限。</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根据对项目理解情况的①设计要求；②设计依据；③设计目标等方案措施的响应程度。 说明：评分标准根据以上单项内容进行评分，单项中每有一处内容存在缺陷(缺陷包括但不限于存在项目名称错误、地点区域错误；方案内容矛盾或表述前后不一致、内容简单粗略、逻辑混乱、无针对性、仅有框架或标题；适用的标准(方法)错误、明显复制其他项目内容等情形)的扣0.5分，单项最多扣3分，扣完为止，未提供或完全脱离单项实际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根据对实施方案的①设计思路；②工作方法；③进度保障；④质量控制；⑤成果审核等方案措施的响应程度。 说明：评分标准根据以上单项内容进行评分，单项中每有一处内容存在缺陷(缺陷包括但不限于存在项目名称错误、地点区域错误；方案内容矛盾或表述前后不一致、内容简单粗略、逻辑混乱、无针对性、仅有框架或标题；适用的标准(方法)错误、明显复制其他项目内容等情形)的扣0.5分，单项最多扣3分，扣完为止，未提供或完全脱离单项实际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根据管理方案中①管理制度；②职责及分工；③工作规范等方案措施的响应程度。 说明：评分标准根据以上单项内容进行评分，单项中每有一处内容存在缺陷(缺陷包括但不限于存在项目名称错误、地点区域错误；方案内容矛盾或表述前后不一致、内容简单粗略、逻辑混乱、无针对性、仅有框架或标题；适用的标准(方法)错误、明显复制其他项目内容等情形)的扣0.5分，单项最多扣3分，扣完为止，未提供或完全脱离单项实际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造价控制及合理化建议</w:t>
            </w:r>
          </w:p>
        </w:tc>
        <w:tc>
          <w:tcPr>
            <w:tcW w:type="dxa" w:w="2492"/>
          </w:tcPr>
          <w:p>
            <w:pPr>
              <w:pStyle w:val="null3"/>
            </w:pPr>
            <w:r>
              <w:rPr>
                <w:rFonts w:ascii="仿宋_GB2312" w:hAnsi="仿宋_GB2312" w:cs="仿宋_GB2312" w:eastAsia="仿宋_GB2312"/>
              </w:rPr>
              <w:t>根据造价控制及合理化建议中①造价控制和②有利于采购人的合理化建议等方案措施的响应程度。 说明：评分标准根据以上单项内容进行评分，单项中每有一处内容存在缺陷(缺陷包括但不限于存在项目名称错误、地点区域错误；方案内容矛盾或表述前后不一致、内容简单粗略、逻辑混乱、无针对性、仅有框架或标题；适用的标准(方法)错误、明显复制其他项目内容等情形)的扣0.5分，单项最多扣3分，扣完为止，未提供或完全脱离单项实际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①拟派项目负责人具备具有市政工程相关专业高级工程师的得3分，不满足不得分。 ②拟派项目负责人具有2023年1月1日起至今类似项目业绩，每提供1个业绩得2分，最多得6分。 说明：需按要求提供拟派项目负责人的(不限)职称证、业绩等证明材料(符合评审要求即可)，无法直接体现的可进行佐证材料补充。拟派项目负责人业绩与企业业绩可重复计算。</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拟派项目服务团队</w:t>
            </w:r>
          </w:p>
        </w:tc>
        <w:tc>
          <w:tcPr>
            <w:tcW w:type="dxa" w:w="2492"/>
          </w:tcPr>
          <w:p>
            <w:pPr>
              <w:pStyle w:val="null3"/>
            </w:pPr>
            <w:r>
              <w:rPr>
                <w:rFonts w:ascii="仿宋_GB2312" w:hAnsi="仿宋_GB2312" w:cs="仿宋_GB2312" w:eastAsia="仿宋_GB2312"/>
              </w:rPr>
              <w:t>①拟派项目组成员中具有市政工程相关专业高级工程师的，每有1人的得 2分，最高得4分。 ②拟派项目组成员中具有本工程相关专业注册执业资格，每有1人的得 2分，最高得8分。(此项每人只计一次分) 说明：项目组成人员不含项目负责人，需提供相关人员的(不限)职称证、注册证等证明材料(符合评审要求即可)。</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供应商具有2023年1月1日起至今类似项目业绩，每提供1个业绩得2分，最多得10分。 说明：业绩以合同扫描件(复印)件为依据,“合同主要内容”“签字盖章”“签订日期”等相关信息应在合同中有体现，无法直接体现的可进行佐证材料补充。企业业绩与拟派项目负责人业绩可重复计算。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财库〔2020〕46号文件的规定，采用低价优先法计算，以本次满足磋商文件要求的最低最后磋商报价为磋商基准价，其磋商报价为满分。供应商的磋商报价得分，统一按照下列公式计算：磋商报价得分=磋商基准价/最后磋商报价×30 ； （最低报价不是中标(成交)的唯一依据）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