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2BD5C"/>
    <w:p w14:paraId="0D3CD1B6">
      <w:pPr>
        <w:pageBreakBefore w:val="0"/>
        <w:wordWrap/>
        <w:overflowPunct/>
        <w:topLinePunct w:val="0"/>
        <w:autoSpaceDE/>
        <w:autoSpaceDN/>
        <w:bidi w:val="0"/>
        <w:spacing w:line="600" w:lineRule="exact"/>
        <w:jc w:val="center"/>
        <w:textAlignment w:val="auto"/>
        <w:rPr>
          <w:rFonts w:hint="eastAsia" w:ascii="黑体" w:hAnsi="黑体" w:eastAsia="黑体" w:cs="黑体"/>
          <w:b w:val="0"/>
          <w:bCs w:val="0"/>
          <w:sz w:val="44"/>
          <w:szCs w:val="52"/>
          <w:lang w:eastAsia="zh-CN"/>
        </w:rPr>
      </w:pPr>
      <w:r>
        <w:rPr>
          <w:rFonts w:hint="eastAsia" w:ascii="黑体" w:hAnsi="黑体" w:eastAsia="黑体" w:cs="黑体"/>
          <w:b w:val="0"/>
          <w:bCs w:val="0"/>
          <w:sz w:val="44"/>
          <w:szCs w:val="52"/>
          <w:lang w:eastAsia="zh-CN"/>
        </w:rPr>
        <w:t>府谷县黄甫镇地质灾害风险调查评价</w:t>
      </w:r>
    </w:p>
    <w:p w14:paraId="79D0915C">
      <w:pPr>
        <w:pageBreakBefore w:val="0"/>
        <w:wordWrap/>
        <w:overflowPunct/>
        <w:topLinePunct w:val="0"/>
        <w:autoSpaceDE/>
        <w:autoSpaceDN/>
        <w:bidi w:val="0"/>
        <w:spacing w:line="600" w:lineRule="exact"/>
        <w:jc w:val="center"/>
        <w:textAlignment w:val="auto"/>
        <w:rPr>
          <w:rFonts w:hint="eastAsia" w:ascii="黑体" w:hAnsi="黑体" w:eastAsia="黑体" w:cs="黑体"/>
          <w:b w:val="0"/>
          <w:bCs w:val="0"/>
          <w:sz w:val="44"/>
          <w:szCs w:val="44"/>
        </w:rPr>
      </w:pPr>
      <w:r>
        <w:rPr>
          <w:rFonts w:hint="eastAsia" w:ascii="黑体" w:hAnsi="黑体" w:eastAsia="黑体" w:cs="黑体"/>
          <w:b w:val="0"/>
          <w:bCs w:val="0"/>
          <w:sz w:val="44"/>
          <w:szCs w:val="52"/>
        </w:rPr>
        <w:t>采购需求文件</w:t>
      </w:r>
    </w:p>
    <w:p w14:paraId="18CE596A">
      <w:pPr>
        <w:keepNext w:val="0"/>
        <w:keepLines w:val="0"/>
        <w:pageBreakBefore w:val="0"/>
        <w:widowControl w:val="0"/>
        <w:kinsoku/>
        <w:wordWrap/>
        <w:overflowPunct/>
        <w:topLinePunct w:val="0"/>
        <w:autoSpaceDE/>
        <w:autoSpaceDN/>
        <w:bidi w:val="0"/>
        <w:adjustRightInd/>
        <w:snapToGrid/>
        <w:spacing w:line="560" w:lineRule="exact"/>
        <w:ind w:leftChars="0" w:firstLine="643" w:firstLineChars="200"/>
        <w:jc w:val="both"/>
        <w:textAlignment w:val="auto"/>
        <w:rPr>
          <w:rFonts w:hint="eastAsia" w:ascii="仿宋_GB2312" w:hAnsi="仿宋_GB2312" w:eastAsia="仿宋_GB2312" w:cs="仿宋_GB2312"/>
          <w:sz w:val="32"/>
          <w:szCs w:val="32"/>
          <w:lang w:eastAsia="zh-CN"/>
        </w:rPr>
      </w:pPr>
      <w:r>
        <w:rPr>
          <w:rFonts w:hint="eastAsia" w:ascii="宋体" w:hAnsi="宋体" w:eastAsia="宋体" w:cs="宋体"/>
          <w:b/>
          <w:bCs/>
          <w:sz w:val="32"/>
          <w:szCs w:val="32"/>
        </w:rPr>
        <w:t>一、采购项目名称：</w:t>
      </w:r>
      <w:r>
        <w:rPr>
          <w:rFonts w:hint="eastAsia" w:ascii="仿宋_GB2312" w:hAnsi="仿宋_GB2312" w:eastAsia="仿宋_GB2312" w:cs="仿宋_GB2312"/>
          <w:sz w:val="32"/>
          <w:szCs w:val="32"/>
          <w:lang w:eastAsia="zh-CN"/>
        </w:rPr>
        <w:t>府谷县黄甫镇地质灾害风险调查评价</w:t>
      </w:r>
    </w:p>
    <w:p w14:paraId="30B97738">
      <w:pPr>
        <w:pageBreakBefore w:val="0"/>
        <w:wordWrap/>
        <w:overflowPunct/>
        <w:topLinePunct w:val="0"/>
        <w:autoSpaceDE/>
        <w:autoSpaceDN/>
        <w:bidi w:val="0"/>
        <w:spacing w:line="600" w:lineRule="exact"/>
        <w:ind w:firstLine="643" w:firstLineChars="200"/>
        <w:textAlignment w:val="auto"/>
        <w:rPr>
          <w:rFonts w:ascii="宋体" w:hAnsi="宋体" w:eastAsia="宋体" w:cs="宋体"/>
          <w:sz w:val="32"/>
          <w:szCs w:val="32"/>
        </w:rPr>
      </w:pPr>
      <w:r>
        <w:rPr>
          <w:rFonts w:hint="eastAsia" w:ascii="宋体" w:hAnsi="宋体" w:eastAsia="宋体" w:cs="宋体"/>
          <w:b/>
          <w:bCs/>
          <w:sz w:val="32"/>
          <w:szCs w:val="32"/>
        </w:rPr>
        <w:t>二、采购项目预算、资金构成和采购方式：</w:t>
      </w:r>
    </w:p>
    <w:p w14:paraId="73AA36EC">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1、采购项目预算：</w:t>
      </w:r>
      <w:r>
        <w:rPr>
          <w:rFonts w:hint="eastAsia" w:ascii="仿宋_GB2312" w:hAnsi="仿宋_GB2312" w:eastAsia="仿宋_GB2312" w:cs="仿宋_GB2312"/>
          <w:sz w:val="32"/>
          <w:szCs w:val="32"/>
          <w:lang w:eastAsia="zh-CN"/>
        </w:rPr>
        <w:t>采购项目预算：</w:t>
      </w:r>
      <w:r>
        <w:rPr>
          <w:rFonts w:hint="eastAsia" w:ascii="仿宋_GB2312" w:hAnsi="仿宋_GB2312" w:eastAsia="仿宋_GB2312" w:cs="仿宋_GB2312"/>
          <w:sz w:val="32"/>
          <w:szCs w:val="32"/>
          <w:lang w:val="en-US" w:eastAsia="zh-CN"/>
        </w:rPr>
        <w:t>1300000.00元</w:t>
      </w:r>
      <w:r>
        <w:rPr>
          <w:rFonts w:hint="eastAsia" w:ascii="仿宋_GB2312" w:hAnsi="仿宋_GB2312" w:eastAsia="仿宋_GB2312" w:cs="仿宋_GB2312"/>
          <w:sz w:val="32"/>
          <w:szCs w:val="32"/>
          <w:lang w:eastAsia="zh-CN"/>
        </w:rPr>
        <w:t>（见上传附件）</w:t>
      </w:r>
      <w:bookmarkStart w:id="0" w:name="_GoBack"/>
      <w:bookmarkEnd w:id="0"/>
    </w:p>
    <w:p w14:paraId="77748CA6">
      <w:pPr>
        <w:pStyle w:val="12"/>
        <w:ind w:firstLine="640" w:firstLineChars="200"/>
        <w:rPr>
          <w:rFonts w:hint="eastAsia"/>
        </w:rPr>
      </w:pPr>
      <w:r>
        <w:rPr>
          <w:rFonts w:hint="eastAsia" w:ascii="仿宋" w:hAnsi="仿宋" w:eastAsia="仿宋" w:cs="仿宋"/>
          <w:sz w:val="32"/>
          <w:szCs w:val="32"/>
        </w:rPr>
        <w:t>2、最高限价：</w:t>
      </w:r>
      <w:r>
        <w:rPr>
          <w:rFonts w:hint="eastAsia" w:ascii="仿宋_GB2312" w:hAnsi="仿宋_GB2312" w:eastAsia="仿宋_GB2312" w:cs="仿宋_GB2312"/>
          <w:sz w:val="32"/>
          <w:szCs w:val="32"/>
          <w:lang w:val="en-US" w:eastAsia="zh-CN"/>
        </w:rPr>
        <w:t>1300000.00元</w:t>
      </w:r>
    </w:p>
    <w:p w14:paraId="747AAF45">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、资金来源：</w:t>
      </w:r>
      <w:r>
        <w:rPr>
          <w:rFonts w:hint="eastAsia" w:ascii="仿宋_GB2312" w:hAnsi="仿宋_GB2312" w:eastAsia="仿宋_GB2312" w:cs="仿宋_GB2312"/>
          <w:sz w:val="32"/>
          <w:szCs w:val="32"/>
          <w:lang w:eastAsia="zh-CN"/>
        </w:rPr>
        <w:t>财政拨款</w:t>
      </w:r>
    </w:p>
    <w:p w14:paraId="36836890">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 w:cs="仿宋_GB2312"/>
          <w:sz w:val="32"/>
          <w:szCs w:val="32"/>
          <w:lang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、价格信息来源：</w:t>
      </w:r>
      <w:r>
        <w:rPr>
          <w:rFonts w:hint="eastAsia" w:ascii="仿宋" w:hAnsi="仿宋" w:eastAsia="仿宋" w:cs="仿宋"/>
          <w:sz w:val="32"/>
          <w:szCs w:val="32"/>
        </w:rPr>
        <w:t>市场询价，</w:t>
      </w:r>
      <w:r>
        <w:rPr>
          <w:rFonts w:hint="eastAsia" w:ascii="仿宋" w:hAnsi="仿宋" w:eastAsia="仿宋" w:cs="仿宋"/>
          <w:sz w:val="32"/>
          <w:szCs w:val="32"/>
          <w:lang w:eastAsia="zh-CN"/>
        </w:rPr>
        <w:t>参照</w:t>
      </w:r>
      <w:r>
        <w:rPr>
          <w:rFonts w:hint="eastAsia" w:ascii="仿宋_GB2312" w:hAnsi="仿宋_GB2312" w:eastAsia="仿宋_GB2312" w:cs="仿宋_GB2312"/>
          <w:sz w:val="32"/>
          <w:szCs w:val="32"/>
        </w:rPr>
        <w:t>《地质调查项目预算标准（中国地质调查局2020 年试用）》及</w:t>
      </w:r>
      <w:r>
        <w:rPr>
          <w:rFonts w:hint="eastAsia" w:ascii="仿宋" w:hAnsi="仿宋" w:eastAsia="仿宋" w:cs="仿宋"/>
          <w:sz w:val="32"/>
          <w:szCs w:val="32"/>
        </w:rPr>
        <w:t>咨询相关技术专家</w:t>
      </w:r>
      <w:r>
        <w:rPr>
          <w:rFonts w:hint="eastAsia" w:ascii="仿宋" w:hAnsi="仿宋" w:eastAsia="仿宋" w:cs="仿宋"/>
          <w:sz w:val="32"/>
          <w:szCs w:val="32"/>
          <w:lang w:eastAsia="zh-CN"/>
        </w:rPr>
        <w:t>。</w:t>
      </w:r>
    </w:p>
    <w:p w14:paraId="10AF2E37">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、采购方式：</w:t>
      </w:r>
      <w:r>
        <w:rPr>
          <w:rFonts w:hint="eastAsia" w:ascii="仿宋" w:hAnsi="仿宋" w:eastAsia="仿宋" w:cs="仿宋"/>
          <w:sz w:val="32"/>
          <w:szCs w:val="32"/>
          <w:lang w:val="en-US" w:eastAsia="zh-CN"/>
        </w:rPr>
        <w:t>竞争性磋商</w:t>
      </w:r>
    </w:p>
    <w:p w14:paraId="0A5EF757">
      <w:pPr>
        <w:pageBreakBefore w:val="0"/>
        <w:wordWrap/>
        <w:overflowPunct/>
        <w:topLinePunct w:val="0"/>
        <w:autoSpaceDE/>
        <w:autoSpaceDN/>
        <w:bidi w:val="0"/>
        <w:spacing w:line="600" w:lineRule="exact"/>
        <w:ind w:firstLine="643" w:firstLineChars="200"/>
        <w:textAlignment w:val="auto"/>
        <w:rPr>
          <w:rFonts w:hint="eastAsia" w:ascii="宋体" w:hAnsi="宋体" w:eastAsia="宋体" w:cs="宋体"/>
          <w:b/>
          <w:bCs/>
          <w:sz w:val="32"/>
          <w:szCs w:val="32"/>
          <w:lang w:eastAsia="zh-CN"/>
        </w:rPr>
      </w:pPr>
      <w:r>
        <w:rPr>
          <w:rFonts w:hint="eastAsia" w:ascii="宋体" w:hAnsi="宋体" w:eastAsia="宋体" w:cs="宋体"/>
          <w:b/>
          <w:bCs/>
          <w:sz w:val="32"/>
          <w:szCs w:val="32"/>
        </w:rPr>
        <w:t>三、</w:t>
      </w:r>
      <w:r>
        <w:rPr>
          <w:rFonts w:hint="eastAsia" w:ascii="宋体" w:hAnsi="宋体" w:eastAsia="宋体" w:cs="宋体"/>
          <w:b/>
          <w:bCs/>
          <w:sz w:val="32"/>
          <w:szCs w:val="32"/>
          <w:lang w:eastAsia="zh-CN"/>
        </w:rPr>
        <w:t>采购需求</w:t>
      </w:r>
    </w:p>
    <w:p w14:paraId="37B3FC84">
      <w:pPr>
        <w:pageBreakBefore w:val="0"/>
        <w:wordWrap/>
        <w:overflowPunct/>
        <w:topLinePunct w:val="0"/>
        <w:autoSpaceDE/>
        <w:autoSpaceDN/>
        <w:bidi w:val="0"/>
        <w:spacing w:line="600" w:lineRule="exact"/>
        <w:ind w:firstLine="643" w:firstLineChars="200"/>
        <w:textAlignment w:val="auto"/>
        <w:rPr>
          <w:rFonts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w:t>
      </w:r>
      <w:r>
        <w:rPr>
          <w:rFonts w:hint="eastAsia" w:ascii="宋体" w:hAnsi="宋体" w:eastAsia="宋体" w:cs="宋体"/>
          <w:b/>
          <w:bCs/>
          <w:sz w:val="32"/>
          <w:szCs w:val="32"/>
          <w:lang w:eastAsia="zh-CN"/>
        </w:rPr>
        <w:t>技术要求</w:t>
      </w:r>
    </w:p>
    <w:p w14:paraId="29024293">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 w:hAnsi="仿宋" w:eastAsia="宋体" w:cs="仿宋"/>
          <w:sz w:val="32"/>
          <w:szCs w:val="32"/>
        </w:rPr>
      </w:pPr>
      <w:r>
        <w:rPr>
          <w:rFonts w:hint="eastAsia" w:ascii="仿宋_GB2312" w:hAnsi="仿宋_GB2312" w:eastAsia="仿宋_GB2312" w:cs="仿宋_GB2312"/>
          <w:sz w:val="32"/>
          <w:szCs w:val="32"/>
          <w:lang w:eastAsia="zh-CN"/>
        </w:rPr>
        <w:t>府谷县黄甫镇地质灾害风险调查评价项目</w:t>
      </w:r>
      <w:r>
        <w:rPr>
          <w:rFonts w:hint="eastAsia" w:ascii="仿宋_GB2312" w:hAnsi="仿宋_GB2312" w:eastAsia="仿宋_GB2312" w:cs="仿宋_GB2312"/>
          <w:sz w:val="32"/>
          <w:szCs w:val="32"/>
          <w:lang w:val="en-US" w:eastAsia="zh-CN"/>
        </w:rPr>
        <w:t>，在城镇建成区和规划区开展 1:10000 比例尺地质灾害调查，对区内不稳定斜坡和重大隐患点进行勘查，开展单体地质灾害风险评价和区域地质灾害风险评价，提出风险管控措施建议。附件包括：各类原始记录本、表格、卡片、统计表等；实测的各类图件；各种原位测试、室内试验鉴定分析资料和勘探试验资料；影像图、照片和素描等；物探解译成果图、各种曲线和数据、推断解释的地质柱状图和剖面图、物探工作报告；各类图件，包括野外测绘手图、实际材料图、工程布置图、遥感解 译图等。</w:t>
      </w:r>
    </w:p>
    <w:p w14:paraId="45A208FF">
      <w:pPr>
        <w:pageBreakBefore w:val="0"/>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eastAsia="宋体" w:cs="宋体"/>
          <w:b/>
          <w:bCs/>
          <w:color w:val="auto"/>
          <w:sz w:val="32"/>
          <w:szCs w:val="32"/>
          <w:lang w:val="en-US" w:eastAsia="zh-CN"/>
        </w:rPr>
        <w:t>2</w:t>
      </w:r>
      <w:r>
        <w:rPr>
          <w:rFonts w:hint="eastAsia" w:ascii="宋体" w:hAnsi="宋体" w:eastAsia="宋体" w:cs="宋体"/>
          <w:b/>
          <w:bCs/>
          <w:color w:val="auto"/>
          <w:sz w:val="32"/>
          <w:szCs w:val="32"/>
        </w:rPr>
        <w:t>、</w:t>
      </w:r>
      <w:r>
        <w:rPr>
          <w:rFonts w:hint="eastAsia" w:ascii="宋体" w:hAnsi="宋体" w:eastAsia="宋体" w:cs="宋体"/>
          <w:b/>
          <w:bCs/>
          <w:sz w:val="32"/>
          <w:szCs w:val="32"/>
        </w:rPr>
        <w:t>项目实施地点：</w:t>
      </w:r>
      <w:r>
        <w:rPr>
          <w:rFonts w:hint="eastAsia" w:ascii="仿宋_GB2312" w:hAnsi="仿宋_GB2312" w:eastAsia="仿宋_GB2312" w:cs="仿宋_GB2312"/>
          <w:sz w:val="32"/>
          <w:szCs w:val="32"/>
        </w:rPr>
        <w:t>府谷县</w:t>
      </w:r>
      <w:r>
        <w:rPr>
          <w:rFonts w:hint="eastAsia" w:ascii="仿宋_GB2312" w:hAnsi="仿宋_GB2312" w:eastAsia="仿宋_GB2312" w:cs="仿宋_GB2312"/>
          <w:sz w:val="32"/>
          <w:szCs w:val="32"/>
          <w:lang w:val="en-US" w:eastAsia="zh-CN"/>
        </w:rPr>
        <w:t>黄甫</w:t>
      </w:r>
      <w:r>
        <w:rPr>
          <w:rFonts w:hint="eastAsia" w:ascii="仿宋_GB2312" w:hAnsi="仿宋_GB2312" w:eastAsia="仿宋_GB2312" w:cs="仿宋_GB2312"/>
          <w:sz w:val="32"/>
          <w:szCs w:val="32"/>
        </w:rPr>
        <w:t>镇</w:t>
      </w:r>
      <w:r>
        <w:rPr>
          <w:rFonts w:hint="eastAsia" w:ascii="宋体" w:hAnsi="宋体" w:eastAsia="宋体" w:cs="宋体"/>
          <w:sz w:val="32"/>
          <w:szCs w:val="32"/>
        </w:rPr>
        <w:t>。</w:t>
      </w:r>
    </w:p>
    <w:p w14:paraId="661121D3">
      <w:pPr>
        <w:pageBreakBefore w:val="0"/>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、履行期限及方式：</w:t>
      </w:r>
      <w:r>
        <w:rPr>
          <w:rFonts w:hint="eastAsia" w:ascii="仿宋_GB2312" w:hAnsi="仿宋_GB2312" w:eastAsia="仿宋_GB2312" w:cs="仿宋_GB2312"/>
          <w:sz w:val="32"/>
          <w:szCs w:val="32"/>
          <w:lang w:val="en-US" w:eastAsia="zh-CN"/>
        </w:rPr>
        <w:t>签订合同后180日历天内完成。</w:t>
      </w:r>
    </w:p>
    <w:p w14:paraId="0F7783AC">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ascii="宋体" w:hAnsi="宋体" w:eastAsia="宋体" w:cs="宋体"/>
          <w:b/>
          <w:bCs/>
          <w:sz w:val="32"/>
          <w:szCs w:val="32"/>
        </w:rPr>
      </w:pPr>
      <w:r>
        <w:rPr>
          <w:rFonts w:hint="eastAsia" w:ascii="宋体" w:hAnsi="宋体" w:eastAsia="宋体" w:cs="宋体"/>
          <w:b/>
          <w:bCs/>
          <w:sz w:val="32"/>
          <w:szCs w:val="32"/>
        </w:rPr>
        <w:t>四、合同模板：</w:t>
      </w:r>
    </w:p>
    <w:p w14:paraId="07BFF4F8">
      <w:pPr>
        <w:pStyle w:val="8"/>
        <w:keepNext w:val="0"/>
        <w:keepLines w:val="0"/>
        <w:pageBreakBefore w:val="0"/>
        <w:kinsoku/>
        <w:wordWrap/>
        <w:overflowPunct/>
        <w:topLinePunct w:val="0"/>
        <w:autoSpaceDE/>
        <w:autoSpaceDN/>
        <w:bidi w:val="0"/>
        <w:adjustRightInd/>
        <w:snapToGrid/>
        <w:spacing w:line="600" w:lineRule="exact"/>
        <w:jc w:val="center"/>
        <w:textAlignment w:val="auto"/>
        <w:rPr>
          <w:rFonts w:hint="eastAsia"/>
          <w:b/>
          <w:bCs/>
          <w:sz w:val="32"/>
          <w:szCs w:val="32"/>
        </w:rPr>
      </w:pPr>
      <w:r>
        <w:rPr>
          <w:rFonts w:hint="eastAsia"/>
          <w:b/>
          <w:sz w:val="32"/>
          <w:szCs w:val="32"/>
        </w:rPr>
        <w:t>府谷县黄甫镇地质灾害风险调查评价</w:t>
      </w:r>
      <w:r>
        <w:rPr>
          <w:rFonts w:hint="eastAsia"/>
          <w:b/>
          <w:bCs/>
          <w:sz w:val="32"/>
          <w:szCs w:val="32"/>
        </w:rPr>
        <w:t>合同格式</w:t>
      </w:r>
    </w:p>
    <w:p w14:paraId="37F24BE1">
      <w:pPr>
        <w:pageBreakBefore w:val="0"/>
        <w:wordWrap/>
        <w:overflowPunct/>
        <w:topLinePunct w:val="0"/>
        <w:autoSpaceDE/>
        <w:autoSpaceDN/>
        <w:bidi w:val="0"/>
        <w:adjustRightInd w:val="0"/>
        <w:snapToGrid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甲方：</w:t>
      </w:r>
      <w:r>
        <w:rPr>
          <w:rFonts w:hint="eastAsia" w:ascii="宋体" w:hAnsi="宋体"/>
          <w:b/>
          <w:sz w:val="32"/>
          <w:szCs w:val="32"/>
          <w:u w:val="single"/>
        </w:rPr>
        <w:t>府谷县</w:t>
      </w:r>
      <w:r>
        <w:rPr>
          <w:rFonts w:hint="eastAsia" w:ascii="宋体" w:hAnsi="宋体"/>
          <w:b/>
          <w:sz w:val="32"/>
          <w:szCs w:val="32"/>
          <w:u w:val="single"/>
          <w:lang w:eastAsia="zh-CN"/>
        </w:rPr>
        <w:t>地质环境监测</w:t>
      </w:r>
      <w:r>
        <w:rPr>
          <w:rFonts w:hint="eastAsia" w:ascii="宋体" w:hAnsi="宋体"/>
          <w:b/>
          <w:sz w:val="32"/>
          <w:szCs w:val="32"/>
          <w:u w:val="single"/>
          <w:lang w:val="en-US" w:eastAsia="zh-CN"/>
        </w:rPr>
        <w:t>中心</w:t>
      </w:r>
      <w:r>
        <w:rPr>
          <w:rFonts w:hint="eastAsia" w:ascii="宋体" w:hAnsi="宋体"/>
          <w:b/>
          <w:sz w:val="32"/>
          <w:szCs w:val="32"/>
          <w:u w:val="single"/>
        </w:rPr>
        <w:t xml:space="preserve">   </w:t>
      </w:r>
    </w:p>
    <w:p w14:paraId="5174B61D">
      <w:pPr>
        <w:pageBreakBefore w:val="0"/>
        <w:wordWrap/>
        <w:overflowPunct/>
        <w:topLinePunct w:val="0"/>
        <w:autoSpaceDE/>
        <w:autoSpaceDN/>
        <w:bidi w:val="0"/>
        <w:adjustRightInd w:val="0"/>
        <w:snapToGrid w:val="0"/>
        <w:spacing w:line="600" w:lineRule="exact"/>
        <w:ind w:firstLine="643" w:firstLineChars="200"/>
        <w:textAlignment w:val="auto"/>
        <w:rPr>
          <w:rFonts w:hint="eastAsia" w:ascii="宋体" w:hAnsi="宋体"/>
          <w:sz w:val="32"/>
          <w:szCs w:val="32"/>
        </w:rPr>
      </w:pPr>
      <w:r>
        <w:rPr>
          <w:rFonts w:hint="eastAsia" w:ascii="宋体" w:hAnsi="宋体"/>
          <w:b/>
          <w:sz w:val="32"/>
          <w:szCs w:val="32"/>
        </w:rPr>
        <w:t>乙方（全称）：</w:t>
      </w:r>
      <w:r>
        <w:rPr>
          <w:rFonts w:hint="eastAsia" w:ascii="宋体" w:hAnsi="宋体"/>
          <w:b/>
          <w:sz w:val="32"/>
          <w:szCs w:val="32"/>
          <w:u w:val="single"/>
        </w:rPr>
        <w:t xml:space="preserve">                                   </w:t>
      </w:r>
      <w:r>
        <w:rPr>
          <w:rFonts w:hint="eastAsia" w:ascii="宋体" w:hAnsi="宋体"/>
          <w:sz w:val="32"/>
          <w:szCs w:val="32"/>
          <w:u w:val="single"/>
        </w:rPr>
        <w:t xml:space="preserve">   </w:t>
      </w:r>
    </w:p>
    <w:p w14:paraId="6EBDF86E">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根据《中华人民共和国民法典》及其他有关法律、法规，遵循平等、自愿、公平和诚信的原则，双方就下述项目范围与相关服务事项协商一致，订立本合同。</w:t>
      </w:r>
    </w:p>
    <w:p w14:paraId="54291C63">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一、项目概况</w:t>
      </w:r>
    </w:p>
    <w:p w14:paraId="5D9707EC">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1.项目名称：府谷县黄甫镇地质灾害风险调查评价；</w:t>
      </w:r>
    </w:p>
    <w:p w14:paraId="75D8C751">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2.项目地点：府谷县黄甫镇；</w:t>
      </w:r>
    </w:p>
    <w:p w14:paraId="1C4D64CD">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项目内容：本项目为府谷县黄甫镇地质灾害风险调查评价。工作目标是依据《陕西省城镇（乡镇）地质灾害风险调查评价技术要求（1:10 000）》（试行）规定，进行府谷县黄甫镇地质灾害风险调查评价，查清府谷县黄甫镇地质灾害隐患和风险底数。采取对已有地质灾害隐患点核查和新增地质灾害隐患点调查相结合的“逐点排查”方式进行。</w:t>
      </w:r>
    </w:p>
    <w:p w14:paraId="6C9BEE0F">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二、组成本合同的文件</w:t>
      </w:r>
    </w:p>
    <w:p w14:paraId="5E6A197D">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1.协议书；</w:t>
      </w:r>
    </w:p>
    <w:p w14:paraId="1E92E571">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2.采购中标通知书、澄清、招标补充文件（或委托书）；</w:t>
      </w:r>
    </w:p>
    <w:p w14:paraId="5F4CA1FF">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本合同签订后，双方依法签订的补充协议、备忘录也是本合同文件的组成部分。</w:t>
      </w:r>
    </w:p>
    <w:p w14:paraId="3CC30F4D">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三、签约金额</w:t>
      </w:r>
    </w:p>
    <w:p w14:paraId="1B82442D">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签约金额（大写）：</w:t>
      </w:r>
      <w:r>
        <w:rPr>
          <w:rFonts w:hint="eastAsia" w:ascii="仿宋_GB2312" w:hAnsi="仿宋_GB2312" w:eastAsia="仿宋_GB2312" w:cs="仿宋_GB2312"/>
          <w:sz w:val="32"/>
          <w:szCs w:val="32"/>
          <w:u w:val="single"/>
          <w:lang w:val="en-US" w:eastAsia="zh-CN"/>
        </w:rPr>
        <w:t xml:space="preserve">          （¥        ）。</w:t>
      </w:r>
    </w:p>
    <w:p w14:paraId="4091D4DA">
      <w:pPr>
        <w:pageBreakBefore w:val="0"/>
        <w:wordWrap/>
        <w:overflowPunct/>
        <w:topLinePunct w:val="0"/>
        <w:autoSpaceDE/>
        <w:autoSpaceDN/>
        <w:bidi w:val="0"/>
        <w:adjustRightInd w:val="0"/>
        <w:snapToGrid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四、结算方式：</w:t>
      </w:r>
    </w:p>
    <w:p w14:paraId="7584E7FF">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（1）结算单位：由甲方以人民币负责结算，在 </w:t>
      </w:r>
      <w:r>
        <w:rPr>
          <w:rFonts w:hint="eastAsia" w:ascii="仿宋_GB2312" w:hAnsi="仿宋_GB2312" w:eastAsia="仿宋_GB2312" w:cs="仿宋_GB2312"/>
          <w:sz w:val="32"/>
          <w:szCs w:val="32"/>
          <w:u w:val="single"/>
          <w:lang w:val="en-US" w:eastAsia="zh-CN"/>
        </w:rPr>
        <w:t xml:space="preserve">府谷县黄甫镇地质灾害风险调查评价 </w:t>
      </w:r>
      <w:r>
        <w:rPr>
          <w:rFonts w:hint="eastAsia" w:ascii="仿宋_GB2312" w:hAnsi="仿宋_GB2312" w:eastAsia="仿宋_GB2312" w:cs="仿宋_GB2312"/>
          <w:sz w:val="32"/>
          <w:szCs w:val="32"/>
          <w:lang w:val="en-US" w:eastAsia="zh-CN"/>
        </w:rPr>
        <w:t>付款前，乙方必须开具全额发票给甲方。</w:t>
      </w:r>
    </w:p>
    <w:p w14:paraId="68D20071">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付款方式：全部工程文件及其它相关资料均按期完成并送至甲方后，甲方向乙方支付费用结算总数的60%，经甲方、专家及上级主管部门野外审查结束后，甲方向乙方支付费用结算总数的20%，经甲方、专家及上级主管部门最终评审结束，获得相关部门正式批复后，甲方向乙方付清剩余地质灾害风险调查评价费。</w:t>
      </w:r>
    </w:p>
    <w:p w14:paraId="4DD8C17A">
      <w:pPr>
        <w:pageBreakBefore w:val="0"/>
        <w:wordWrap/>
        <w:overflowPunct/>
        <w:topLinePunct w:val="0"/>
        <w:autoSpaceDE/>
        <w:autoSpaceDN/>
        <w:bidi w:val="0"/>
        <w:adjustRightInd w:val="0"/>
        <w:snapToGrid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五、期限</w:t>
      </w:r>
    </w:p>
    <w:p w14:paraId="172AD87E">
      <w:pPr>
        <w:pageBreakBefore w:val="0"/>
        <w:wordWrap/>
        <w:overflowPunct/>
        <w:topLinePunct w:val="0"/>
        <w:autoSpaceDE/>
        <w:autoSpaceDN/>
        <w:bidi w:val="0"/>
        <w:adjustRightInd w:val="0"/>
        <w:snapToGrid w:val="0"/>
        <w:spacing w:line="600" w:lineRule="exact"/>
        <w:ind w:firstLine="640" w:firstLineChars="200"/>
        <w:jc w:val="left"/>
        <w:textAlignment w:val="auto"/>
        <w:rPr>
          <w:rFonts w:hint="eastAsia" w:ascii="宋体" w:hAnsi="宋体"/>
          <w:kern w:val="0"/>
          <w:sz w:val="32"/>
          <w:szCs w:val="32"/>
          <w:u w:val="single"/>
        </w:rPr>
      </w:pPr>
      <w:r>
        <w:rPr>
          <w:rFonts w:hint="eastAsia" w:ascii="仿宋_GB2312" w:hAnsi="仿宋_GB2312" w:eastAsia="仿宋_GB2312" w:cs="仿宋_GB2312"/>
          <w:sz w:val="32"/>
          <w:szCs w:val="32"/>
          <w:lang w:val="en-US" w:eastAsia="zh-CN"/>
        </w:rPr>
        <w:t>提交成果期：合同签订后180日历天。</w:t>
      </w:r>
    </w:p>
    <w:p w14:paraId="5A32AA5E">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六、双方承诺</w:t>
      </w:r>
    </w:p>
    <w:p w14:paraId="2DC68366">
      <w:pPr>
        <w:pageBreakBefore w:val="0"/>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1.乙方向甲方承诺，按照本合同约定提供相关服务。</w:t>
      </w:r>
    </w:p>
    <w:p w14:paraId="437F6F29">
      <w:pPr>
        <w:pageBreakBefore w:val="0"/>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2.甲方向乙方承诺，按照本合同约定支付服务款项。</w:t>
      </w:r>
    </w:p>
    <w:p w14:paraId="21FB3546">
      <w:pPr>
        <w:pageBreakBefore w:val="0"/>
        <w:tabs>
          <w:tab w:val="left" w:pos="840"/>
        </w:tabs>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b/>
          <w:sz w:val="32"/>
          <w:szCs w:val="32"/>
        </w:rPr>
        <w:t>七、内容及要求：</w:t>
      </w:r>
      <w:r>
        <w:rPr>
          <w:rFonts w:hint="eastAsia" w:ascii="仿宋_GB2312" w:hAnsi="仿宋_GB2312" w:eastAsia="仿宋_GB2312" w:cs="仿宋_GB2312"/>
          <w:sz w:val="32"/>
          <w:szCs w:val="32"/>
          <w:lang w:val="en-US" w:eastAsia="zh-CN"/>
        </w:rPr>
        <w:t>详见招标内容及要求</w:t>
      </w:r>
    </w:p>
    <w:p w14:paraId="64F417A2">
      <w:pPr>
        <w:pageBreakBefore w:val="0"/>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b/>
          <w:sz w:val="32"/>
          <w:szCs w:val="32"/>
        </w:rPr>
        <w:t>八、项目实施地点：</w:t>
      </w:r>
      <w:r>
        <w:rPr>
          <w:rFonts w:hint="eastAsia" w:ascii="仿宋_GB2312" w:hAnsi="仿宋_GB2312" w:eastAsia="仿宋_GB2312" w:cs="仿宋_GB2312"/>
          <w:sz w:val="32"/>
          <w:szCs w:val="32"/>
          <w:lang w:val="en-US" w:eastAsia="zh-CN"/>
        </w:rPr>
        <w:t>府谷县黄甫镇。</w:t>
      </w:r>
    </w:p>
    <w:p w14:paraId="04772C67">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九、保密</w:t>
      </w:r>
    </w:p>
    <w:p w14:paraId="40DB0D93">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双方须对工作中了解到的使用单位技术、机密等进行严格保密，不得向他人泄漏。</w:t>
      </w:r>
    </w:p>
    <w:p w14:paraId="1E25899C">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lang w:eastAsia="zh-CN"/>
        </w:rPr>
        <w:t>十</w:t>
      </w:r>
      <w:r>
        <w:rPr>
          <w:rFonts w:hint="eastAsia" w:ascii="宋体" w:hAnsi="宋体"/>
          <w:b/>
          <w:sz w:val="32"/>
          <w:szCs w:val="32"/>
        </w:rPr>
        <w:t>、知识产权</w:t>
      </w:r>
    </w:p>
    <w:p w14:paraId="1737F237">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应保证投标服务不会出现因第三方提出侵犯其专利权、商标权或其它知识产权而引发法律或经济纠纷，否则由乙方承担全部责任。任何被乙方用于未经授权的商业目的行为所造成的违约或侵权责任由乙方承但。</w:t>
      </w:r>
    </w:p>
    <w:p w14:paraId="33EA1601">
      <w:pPr>
        <w:pageBreakBefore w:val="0"/>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b/>
          <w:sz w:val="32"/>
          <w:szCs w:val="32"/>
        </w:rPr>
        <w:t>十</w:t>
      </w:r>
      <w:r>
        <w:rPr>
          <w:rFonts w:hint="eastAsia" w:ascii="宋体" w:hAnsi="宋体"/>
          <w:b/>
          <w:sz w:val="32"/>
          <w:szCs w:val="32"/>
          <w:lang w:eastAsia="zh-CN"/>
        </w:rPr>
        <w:t>一</w:t>
      </w:r>
      <w:r>
        <w:rPr>
          <w:rFonts w:hint="eastAsia" w:ascii="宋体" w:hAnsi="宋体"/>
          <w:b/>
          <w:sz w:val="32"/>
          <w:szCs w:val="32"/>
        </w:rPr>
        <w:t>、合同争议的解决：</w:t>
      </w:r>
      <w:r>
        <w:rPr>
          <w:rFonts w:hint="eastAsia" w:ascii="仿宋_GB2312" w:hAnsi="仿宋_GB2312" w:eastAsia="仿宋_GB2312" w:cs="仿宋_GB2312"/>
          <w:sz w:val="32"/>
          <w:szCs w:val="32"/>
          <w:lang w:val="en-US" w:eastAsia="zh-CN"/>
        </w:rPr>
        <w:t>合同执行中发生争议的，当事人双方应协商解决，协商达不成一致时，可向甲方住所地有管辖权的人民法院提请诉讼。</w:t>
      </w:r>
    </w:p>
    <w:p w14:paraId="37C908AD">
      <w:pPr>
        <w:pageBreakBefore w:val="0"/>
        <w:wordWrap/>
        <w:overflowPunct/>
        <w:topLinePunct w:val="0"/>
        <w:autoSpaceDE/>
        <w:autoSpaceDN/>
        <w:bidi w:val="0"/>
        <w:spacing w:line="600" w:lineRule="exact"/>
        <w:ind w:firstLine="643" w:firstLineChars="200"/>
        <w:textAlignment w:val="auto"/>
        <w:rPr>
          <w:rFonts w:hint="eastAsia" w:ascii="宋体" w:hAnsi="宋体"/>
          <w:sz w:val="32"/>
          <w:szCs w:val="32"/>
        </w:rPr>
      </w:pPr>
      <w:r>
        <w:rPr>
          <w:rFonts w:hint="eastAsia" w:ascii="宋体" w:hAnsi="宋体"/>
          <w:b/>
          <w:sz w:val="32"/>
          <w:szCs w:val="32"/>
        </w:rPr>
        <w:t>十</w:t>
      </w:r>
      <w:r>
        <w:rPr>
          <w:rFonts w:hint="eastAsia" w:ascii="宋体" w:hAnsi="宋体"/>
          <w:b/>
          <w:sz w:val="32"/>
          <w:szCs w:val="32"/>
          <w:lang w:eastAsia="zh-CN"/>
        </w:rPr>
        <w:t>四</w:t>
      </w:r>
      <w:r>
        <w:rPr>
          <w:rFonts w:hint="eastAsia" w:ascii="宋体" w:hAnsi="宋体"/>
          <w:b/>
          <w:sz w:val="32"/>
          <w:szCs w:val="32"/>
        </w:rPr>
        <w:t>、</w:t>
      </w:r>
      <w:r>
        <w:rPr>
          <w:rFonts w:hint="eastAsia" w:ascii="仿宋_GB2312" w:hAnsi="仿宋_GB2312" w:eastAsia="仿宋_GB2312" w:cs="仿宋_GB2312"/>
          <w:sz w:val="32"/>
          <w:szCs w:val="32"/>
          <w:lang w:val="en-US" w:eastAsia="zh-CN"/>
        </w:rPr>
        <w:t>在发生不可抗力情况下的应对措施和解决办法。</w:t>
      </w:r>
    </w:p>
    <w:p w14:paraId="2EC5D3DC">
      <w:pPr>
        <w:pageBreakBefore w:val="0"/>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b/>
          <w:sz w:val="32"/>
          <w:szCs w:val="32"/>
        </w:rPr>
        <w:t>十</w:t>
      </w:r>
      <w:r>
        <w:rPr>
          <w:rFonts w:hint="eastAsia" w:ascii="宋体" w:hAnsi="宋体"/>
          <w:b/>
          <w:sz w:val="32"/>
          <w:szCs w:val="32"/>
          <w:lang w:eastAsia="zh-CN"/>
        </w:rPr>
        <w:t>五</w:t>
      </w:r>
      <w:r>
        <w:rPr>
          <w:rFonts w:hint="eastAsia" w:ascii="宋体" w:hAnsi="宋体"/>
          <w:b/>
          <w:sz w:val="32"/>
          <w:szCs w:val="32"/>
        </w:rPr>
        <w:t>、</w:t>
      </w:r>
      <w:r>
        <w:rPr>
          <w:rFonts w:hint="eastAsia" w:ascii="仿宋_GB2312" w:hAnsi="仿宋_GB2312" w:eastAsia="仿宋_GB2312" w:cs="仿宋_GB2312"/>
          <w:sz w:val="32"/>
          <w:szCs w:val="32"/>
          <w:lang w:val="en-US" w:eastAsia="zh-CN"/>
        </w:rPr>
        <w:t>合同一经签订，不得擅自变更、中止或者终止合同。对确需变更、调整或者中止、终止合同的，应按规定履行相应的手续。</w:t>
      </w:r>
    </w:p>
    <w:p w14:paraId="528BB497">
      <w:pPr>
        <w:pageBreakBefore w:val="0"/>
        <w:wordWrap/>
        <w:overflowPunct/>
        <w:topLinePunct w:val="0"/>
        <w:autoSpaceDE/>
        <w:autoSpaceDN/>
        <w:bidi w:val="0"/>
        <w:spacing w:line="60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宋体" w:hAnsi="宋体"/>
          <w:b/>
          <w:sz w:val="32"/>
          <w:szCs w:val="32"/>
        </w:rPr>
        <w:t>十</w:t>
      </w:r>
      <w:r>
        <w:rPr>
          <w:rFonts w:hint="eastAsia" w:ascii="宋体" w:hAnsi="宋体"/>
          <w:b/>
          <w:sz w:val="32"/>
          <w:szCs w:val="32"/>
          <w:lang w:eastAsia="zh-CN"/>
        </w:rPr>
        <w:t>六</w:t>
      </w:r>
      <w:r>
        <w:rPr>
          <w:rFonts w:hint="eastAsia" w:ascii="宋体" w:hAnsi="宋体"/>
          <w:b/>
          <w:sz w:val="32"/>
          <w:szCs w:val="32"/>
        </w:rPr>
        <w:t>、违约责任：</w:t>
      </w:r>
      <w:r>
        <w:rPr>
          <w:rFonts w:hint="eastAsia" w:ascii="仿宋_GB2312" w:hAnsi="仿宋_GB2312" w:eastAsia="仿宋_GB2312" w:cs="仿宋_GB2312"/>
          <w:sz w:val="32"/>
          <w:szCs w:val="32"/>
          <w:lang w:val="en-US" w:eastAsia="zh-CN"/>
        </w:rPr>
        <w:t>依据《中华人民共和国民法典》等相关行业法律法规的相关条款和本合同约定，中标乙方未全面履行合同义务或者发生违约，甲方会同招标代理机构有权终止合同，依法向中标乙方进行经济索赔，并报请政府监督管理机关进行相应的行政处罚。甲方违约的，应当赔偿给中标乙方造成的经济损失。</w:t>
      </w:r>
    </w:p>
    <w:p w14:paraId="055D5DD9">
      <w:pPr>
        <w:pageBreakBefore w:val="0"/>
        <w:wordWrap/>
        <w:overflowPunct/>
        <w:topLinePunct w:val="0"/>
        <w:autoSpaceDE/>
        <w:autoSpaceDN/>
        <w:bidi w:val="0"/>
        <w:spacing w:line="600" w:lineRule="exact"/>
        <w:ind w:firstLine="643" w:firstLineChars="200"/>
        <w:textAlignment w:val="auto"/>
        <w:rPr>
          <w:rFonts w:hint="eastAsia" w:ascii="宋体" w:hAnsi="宋体"/>
          <w:b/>
          <w:sz w:val="32"/>
          <w:szCs w:val="32"/>
        </w:rPr>
      </w:pPr>
      <w:r>
        <w:rPr>
          <w:rFonts w:hint="eastAsia" w:ascii="宋体" w:hAnsi="宋体"/>
          <w:b/>
          <w:sz w:val="32"/>
          <w:szCs w:val="32"/>
        </w:rPr>
        <w:t>十</w:t>
      </w:r>
      <w:r>
        <w:rPr>
          <w:rFonts w:hint="eastAsia" w:ascii="宋体" w:hAnsi="宋体"/>
          <w:b/>
          <w:sz w:val="32"/>
          <w:szCs w:val="32"/>
          <w:lang w:eastAsia="zh-CN"/>
        </w:rPr>
        <w:t>七</w:t>
      </w:r>
      <w:r>
        <w:rPr>
          <w:rFonts w:hint="eastAsia" w:ascii="宋体" w:hAnsi="宋体"/>
          <w:b/>
          <w:sz w:val="32"/>
          <w:szCs w:val="32"/>
        </w:rPr>
        <w:t>、合同订立</w:t>
      </w:r>
    </w:p>
    <w:p w14:paraId="7F37F3FE">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1.订立时间： 2026年    月    日。</w:t>
      </w:r>
    </w:p>
    <w:p w14:paraId="69EBACAA">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2.订立地点：                                 。</w:t>
      </w:r>
    </w:p>
    <w:p w14:paraId="14E20C2F">
      <w:pPr>
        <w:pageBreakBefore w:val="0"/>
        <w:wordWrap/>
        <w:overflowPunct/>
        <w:topLinePunct w:val="0"/>
        <w:autoSpaceDE/>
        <w:autoSpaceDN/>
        <w:bidi w:val="0"/>
        <w:spacing w:line="600" w:lineRule="exact"/>
        <w:ind w:firstLine="640" w:firstLineChars="200"/>
        <w:textAlignment w:val="auto"/>
        <w:rPr>
          <w:rFonts w:hint="eastAsia" w:ascii="宋体" w:hAnsi="宋体"/>
          <w:sz w:val="32"/>
          <w:szCs w:val="32"/>
        </w:rPr>
      </w:pPr>
      <w:r>
        <w:rPr>
          <w:rFonts w:hint="eastAsia" w:ascii="仿宋_GB2312" w:hAnsi="仿宋_GB2312" w:eastAsia="仿宋_GB2312" w:cs="仿宋_GB2312"/>
          <w:sz w:val="32"/>
          <w:szCs w:val="32"/>
          <w:lang w:val="en-US" w:eastAsia="zh-CN"/>
        </w:rPr>
        <w:t>3.本合同一式陆份，具有同等法律效力，双方各执两   份，监管部门备案壹份、招标代理机构存档壹份。各方签字盖章后生效，合同执行完毕自动失效（合同的服务承诺则长期有效）。</w:t>
      </w:r>
    </w:p>
    <w:p w14:paraId="332C5C61">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甲方：</w:t>
      </w:r>
      <w:r>
        <w:rPr>
          <w:rFonts w:hint="eastAsia" w:ascii="宋体" w:hAnsi="宋体"/>
          <w:sz w:val="32"/>
          <w:szCs w:val="32"/>
          <w:u w:val="single"/>
        </w:rPr>
        <w:t xml:space="preserve">   （盖章）     </w:t>
      </w:r>
      <w:r>
        <w:rPr>
          <w:rFonts w:hint="eastAsia" w:ascii="宋体" w:hAnsi="宋体"/>
          <w:sz w:val="32"/>
          <w:szCs w:val="32"/>
        </w:rPr>
        <w:t xml:space="preserve">       乙方：</w:t>
      </w:r>
      <w:r>
        <w:rPr>
          <w:rFonts w:hint="eastAsia" w:ascii="宋体" w:hAnsi="宋体"/>
          <w:sz w:val="32"/>
          <w:szCs w:val="32"/>
          <w:u w:val="single"/>
        </w:rPr>
        <w:t xml:space="preserve">   （盖章）    </w:t>
      </w:r>
    </w:p>
    <w:p w14:paraId="558E80FB">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 xml:space="preserve">地址： </w:t>
      </w:r>
      <w:r>
        <w:rPr>
          <w:rFonts w:hint="eastAsia" w:ascii="宋体" w:hAnsi="宋体"/>
          <w:sz w:val="32"/>
          <w:szCs w:val="32"/>
          <w:u w:val="single"/>
        </w:rPr>
        <w:t xml:space="preserve">               </w:t>
      </w: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地址：</w:t>
      </w:r>
      <w:r>
        <w:rPr>
          <w:rFonts w:hint="eastAsia" w:ascii="宋体" w:hAnsi="宋体"/>
          <w:sz w:val="32"/>
          <w:szCs w:val="32"/>
          <w:u w:val="single"/>
        </w:rPr>
        <w:t xml:space="preserve">                     </w:t>
      </w:r>
    </w:p>
    <w:p w14:paraId="5B24E9EF">
      <w:pPr>
        <w:pageBreakBefore w:val="0"/>
        <w:wordWrap/>
        <w:overflowPunct/>
        <w:topLinePunct w:val="0"/>
        <w:autoSpaceDE/>
        <w:autoSpaceDN/>
        <w:bidi w:val="0"/>
        <w:adjustRightInd w:val="0"/>
        <w:snapToGrid w:val="0"/>
        <w:spacing w:line="600" w:lineRule="exact"/>
        <w:ind w:firstLine="640" w:firstLineChars="200"/>
        <w:textAlignment w:val="auto"/>
        <w:rPr>
          <w:rFonts w:hint="eastAsia" w:ascii="宋体" w:hAnsi="宋体"/>
          <w:sz w:val="32"/>
          <w:szCs w:val="32"/>
        </w:rPr>
      </w:pPr>
      <w:r>
        <w:rPr>
          <w:rFonts w:hint="eastAsia" w:ascii="宋体" w:hAnsi="宋体"/>
          <w:sz w:val="32"/>
          <w:szCs w:val="32"/>
        </w:rPr>
        <w:t>邮政编码：</w:t>
      </w:r>
      <w:r>
        <w:rPr>
          <w:rFonts w:hint="eastAsia" w:ascii="宋体" w:hAnsi="宋体"/>
          <w:sz w:val="32"/>
          <w:szCs w:val="32"/>
          <w:u w:val="single"/>
        </w:rPr>
        <w:t xml:space="preserve">            </w:t>
      </w: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邮政编码：</w:t>
      </w:r>
      <w:r>
        <w:rPr>
          <w:rFonts w:hint="eastAsia" w:ascii="宋体" w:hAnsi="宋体"/>
          <w:sz w:val="32"/>
          <w:szCs w:val="32"/>
          <w:u w:val="single"/>
        </w:rPr>
        <w:t xml:space="preserve">                  </w:t>
      </w:r>
    </w:p>
    <w:p w14:paraId="68FCFD91">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法定代表人或其授权           法定代表人或其授权</w:t>
      </w:r>
    </w:p>
    <w:p w14:paraId="7076A469">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的代理人：</w:t>
      </w:r>
      <w:r>
        <w:rPr>
          <w:rFonts w:hint="eastAsia" w:ascii="宋体" w:hAnsi="宋体"/>
          <w:sz w:val="32"/>
          <w:szCs w:val="32"/>
          <w:u w:val="single"/>
        </w:rPr>
        <w:t xml:space="preserve">（签字）      </w:t>
      </w:r>
      <w:r>
        <w:rPr>
          <w:rFonts w:hint="eastAsia" w:ascii="宋体" w:hAnsi="宋体"/>
          <w:sz w:val="32"/>
          <w:szCs w:val="32"/>
        </w:rPr>
        <w:t xml:space="preserve">     的代理人：</w:t>
      </w:r>
      <w:r>
        <w:rPr>
          <w:rFonts w:hint="eastAsia" w:ascii="宋体" w:hAnsi="宋体"/>
          <w:sz w:val="32"/>
          <w:szCs w:val="32"/>
          <w:u w:val="single"/>
        </w:rPr>
        <w:t xml:space="preserve">（签字）          </w:t>
      </w:r>
    </w:p>
    <w:p w14:paraId="7C929AC3">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开户银行：</w:t>
      </w:r>
      <w:r>
        <w:rPr>
          <w:rFonts w:hint="eastAsia" w:ascii="宋体" w:hAnsi="宋体"/>
          <w:sz w:val="32"/>
          <w:szCs w:val="32"/>
          <w:u w:val="single"/>
        </w:rPr>
        <w:t xml:space="preserve">              </w:t>
      </w:r>
      <w:r>
        <w:rPr>
          <w:rFonts w:hint="eastAsia" w:ascii="宋体" w:hAnsi="宋体"/>
          <w:sz w:val="32"/>
          <w:szCs w:val="32"/>
        </w:rPr>
        <w:t xml:space="preserve">     开户银行：</w:t>
      </w:r>
      <w:r>
        <w:rPr>
          <w:rFonts w:hint="eastAsia" w:ascii="宋体" w:hAnsi="宋体"/>
          <w:sz w:val="32"/>
          <w:szCs w:val="32"/>
          <w:u w:val="single"/>
        </w:rPr>
        <w:t xml:space="preserve">                  </w:t>
      </w:r>
    </w:p>
    <w:p w14:paraId="2CCB6FAB">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账号：</w:t>
      </w:r>
      <w:r>
        <w:rPr>
          <w:rFonts w:hint="eastAsia" w:ascii="宋体" w:hAnsi="宋体"/>
          <w:sz w:val="32"/>
          <w:szCs w:val="32"/>
          <w:u w:val="single"/>
        </w:rPr>
        <w:t xml:space="preserve">                  </w:t>
      </w:r>
      <w:r>
        <w:rPr>
          <w:rFonts w:hint="eastAsia" w:ascii="宋体" w:hAnsi="宋体"/>
          <w:sz w:val="32"/>
          <w:szCs w:val="32"/>
        </w:rPr>
        <w:t xml:space="preserve">     账号：</w:t>
      </w:r>
      <w:r>
        <w:rPr>
          <w:rFonts w:hint="eastAsia" w:ascii="宋体" w:hAnsi="宋体"/>
          <w:sz w:val="32"/>
          <w:szCs w:val="32"/>
          <w:u w:val="single"/>
        </w:rPr>
        <w:t xml:space="preserve">                       </w:t>
      </w:r>
      <w:r>
        <w:rPr>
          <w:rFonts w:hint="eastAsia" w:ascii="宋体" w:hAnsi="宋体"/>
          <w:sz w:val="32"/>
          <w:szCs w:val="32"/>
        </w:rPr>
        <w:t xml:space="preserve"> </w:t>
      </w:r>
      <w:r>
        <w:rPr>
          <w:rFonts w:hint="eastAsia" w:ascii="宋体" w:hAnsi="宋体"/>
          <w:sz w:val="32"/>
          <w:szCs w:val="32"/>
          <w:u w:val="single"/>
        </w:rPr>
        <w:t xml:space="preserve"> </w:t>
      </w:r>
    </w:p>
    <w:p w14:paraId="1AC54860">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电话：</w:t>
      </w:r>
      <w:r>
        <w:rPr>
          <w:rFonts w:hint="eastAsia" w:ascii="宋体" w:hAnsi="宋体"/>
          <w:sz w:val="32"/>
          <w:szCs w:val="32"/>
          <w:u w:val="single"/>
        </w:rPr>
        <w:t xml:space="preserve">                  </w:t>
      </w:r>
      <w:r>
        <w:rPr>
          <w:rFonts w:hint="eastAsia" w:ascii="宋体" w:hAnsi="宋体"/>
          <w:sz w:val="32"/>
          <w:szCs w:val="32"/>
        </w:rPr>
        <w:t xml:space="preserve">     电话：</w:t>
      </w:r>
      <w:r>
        <w:rPr>
          <w:rFonts w:hint="eastAsia" w:ascii="宋体" w:hAnsi="宋体"/>
          <w:sz w:val="32"/>
          <w:szCs w:val="32"/>
          <w:u w:val="single"/>
        </w:rPr>
        <w:t xml:space="preserve">                       </w:t>
      </w:r>
    </w:p>
    <w:p w14:paraId="25350457">
      <w:pPr>
        <w:pageBreakBefore w:val="0"/>
        <w:wordWrap/>
        <w:overflowPunct/>
        <w:topLinePunct w:val="0"/>
        <w:autoSpaceDE/>
        <w:autoSpaceDN/>
        <w:bidi w:val="0"/>
        <w:adjustRightInd w:val="0"/>
        <w:snapToGrid w:val="0"/>
        <w:spacing w:line="600" w:lineRule="exact"/>
        <w:ind w:firstLine="633" w:firstLineChars="198"/>
        <w:textAlignment w:val="auto"/>
        <w:rPr>
          <w:rFonts w:hint="eastAsia" w:ascii="宋体" w:hAnsi="宋体"/>
          <w:sz w:val="32"/>
          <w:szCs w:val="32"/>
        </w:rPr>
      </w:pPr>
      <w:r>
        <w:rPr>
          <w:rFonts w:hint="eastAsia" w:ascii="宋体" w:hAnsi="宋体"/>
          <w:sz w:val="32"/>
          <w:szCs w:val="32"/>
        </w:rPr>
        <w:t>传真：</w:t>
      </w:r>
      <w:r>
        <w:rPr>
          <w:rFonts w:hint="eastAsia" w:ascii="宋体" w:hAnsi="宋体"/>
          <w:sz w:val="32"/>
          <w:szCs w:val="32"/>
          <w:u w:val="single"/>
        </w:rPr>
        <w:t xml:space="preserve">                  </w:t>
      </w:r>
      <w:r>
        <w:rPr>
          <w:rFonts w:hint="eastAsia" w:ascii="宋体" w:hAnsi="宋体"/>
          <w:sz w:val="32"/>
          <w:szCs w:val="32"/>
        </w:rPr>
        <w:t xml:space="preserve">     传真：</w:t>
      </w:r>
      <w:r>
        <w:rPr>
          <w:rFonts w:hint="eastAsia" w:ascii="宋体" w:hAnsi="宋体"/>
          <w:sz w:val="32"/>
          <w:szCs w:val="32"/>
          <w:u w:val="single"/>
        </w:rPr>
        <w:t xml:space="preserve">                       </w:t>
      </w:r>
    </w:p>
    <w:p w14:paraId="35F4294A">
      <w:pPr>
        <w:pageBreakBefore w:val="0"/>
        <w:wordWrap/>
        <w:overflowPunct/>
        <w:topLinePunct w:val="0"/>
        <w:autoSpaceDE/>
        <w:autoSpaceDN/>
        <w:bidi w:val="0"/>
        <w:adjustRightInd w:val="0"/>
        <w:snapToGrid w:val="0"/>
        <w:spacing w:line="600" w:lineRule="exact"/>
        <w:ind w:firstLine="633" w:firstLineChars="198"/>
        <w:textAlignment w:val="auto"/>
        <w:rPr>
          <w:rFonts w:ascii="宋体" w:hAnsi="宋体"/>
          <w:sz w:val="32"/>
          <w:szCs w:val="32"/>
          <w:u w:val="single"/>
        </w:rPr>
      </w:pPr>
      <w:r>
        <w:rPr>
          <w:rFonts w:hint="eastAsia" w:ascii="宋体" w:hAnsi="宋体"/>
          <w:sz w:val="32"/>
          <w:szCs w:val="32"/>
        </w:rPr>
        <w:t>电子邮箱：</w:t>
      </w:r>
      <w:r>
        <w:rPr>
          <w:rFonts w:hint="eastAsia" w:ascii="宋体" w:hAnsi="宋体"/>
          <w:sz w:val="32"/>
          <w:szCs w:val="32"/>
          <w:u w:val="single"/>
        </w:rPr>
        <w:t xml:space="preserve">              </w:t>
      </w:r>
      <w:r>
        <w:rPr>
          <w:rFonts w:hint="eastAsia" w:ascii="宋体" w:hAnsi="宋体"/>
          <w:sz w:val="32"/>
          <w:szCs w:val="32"/>
        </w:rPr>
        <w:t xml:space="preserve">     电子邮箱：</w:t>
      </w:r>
      <w:r>
        <w:rPr>
          <w:rFonts w:hint="eastAsia" w:ascii="宋体" w:hAnsi="宋体"/>
          <w:sz w:val="32"/>
          <w:szCs w:val="32"/>
          <w:u w:val="single"/>
        </w:rPr>
        <w:t xml:space="preserve">                  </w:t>
      </w:r>
    </w:p>
    <w:p w14:paraId="00477321">
      <w:pPr>
        <w:rPr>
          <w:rFonts w:ascii="宋体" w:hAnsi="宋体" w:eastAsia="宋体" w:cs="宋体"/>
          <w:b/>
          <w:bCs/>
          <w:sz w:val="32"/>
          <w:szCs w:val="32"/>
        </w:rPr>
      </w:pPr>
      <w:r>
        <w:rPr>
          <w:rFonts w:hint="eastAsia" w:ascii="宋体" w:hAnsi="宋体" w:eastAsia="宋体" w:cs="宋体"/>
          <w:b/>
          <w:bCs/>
          <w:sz w:val="32"/>
          <w:szCs w:val="32"/>
        </w:rPr>
        <w:t>五、履约验收标准和方法</w:t>
      </w:r>
    </w:p>
    <w:p w14:paraId="43A21071">
      <w:pPr>
        <w:ind w:firstLine="640" w:firstLineChars="200"/>
        <w:rPr>
          <w:rFonts w:hint="eastAsia"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1、履约验收时间：</w:t>
      </w:r>
      <w:r>
        <w:rPr>
          <w:rFonts w:hint="eastAsia" w:ascii="仿宋" w:hAnsi="仿宋" w:eastAsia="仿宋" w:cs="仿宋"/>
          <w:sz w:val="32"/>
          <w:szCs w:val="32"/>
          <w:lang w:val="en-US" w:eastAsia="zh-CN"/>
        </w:rPr>
        <w:t>乙方提交验收申请5个工作日内。</w:t>
      </w:r>
    </w:p>
    <w:p w14:paraId="606243AB">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履约验收主体及内容：作业单位在地质灾害、地质环境、承灾体等进行调查的基础上，对黄甫镇所有单体地质灾害、地质灾害隐患点、区域地质灾害进行风险分析、风险计算和风险评价，对勘察地质灾害点，需要进行定量风险评价。区域性地质灾害的分析分析、计算与评价方法应该与GIS信息系统相结合，采用定量方法进行，并划分出黄甫镇地质灾害高风险区、中等风险区、低风险区等。</w:t>
      </w:r>
    </w:p>
    <w:p w14:paraId="7CBCFE4D">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3、验收程序：作业单位应当严格按合同约定的内容提交项目成果应</w:t>
      </w:r>
      <w:r>
        <w:rPr>
          <w:rFonts w:hint="eastAsia" w:ascii="仿宋" w:hAnsi="仿宋" w:eastAsia="仿宋" w:cs="仿宋"/>
          <w:sz w:val="32"/>
          <w:szCs w:val="32"/>
        </w:rPr>
        <w:t>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26CC0113">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4、文本类成果：</w:t>
      </w:r>
    </w:p>
    <w:p w14:paraId="064234FB">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府谷县黄甫镇地质灾害调查评价报告；</w:t>
      </w:r>
    </w:p>
    <w:p w14:paraId="356D0ECA">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府谷县黄甫镇重要地质灾害隐患点工程地质勘察报告；</w:t>
      </w:r>
    </w:p>
    <w:p w14:paraId="0E67CC91">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5、图件类成果：</w:t>
      </w:r>
    </w:p>
    <w:p w14:paraId="0B28E475">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图件类成果如下表所示：</w:t>
      </w:r>
    </w:p>
    <w:tbl>
      <w:tblPr>
        <w:tblStyle w:val="9"/>
        <w:tblW w:w="8704" w:type="dxa"/>
        <w:jc w:val="center"/>
        <w:tblLayout w:type="fixed"/>
        <w:tblCellMar>
          <w:top w:w="0" w:type="dxa"/>
          <w:left w:w="0" w:type="dxa"/>
          <w:bottom w:w="0" w:type="dxa"/>
          <w:right w:w="0" w:type="dxa"/>
        </w:tblCellMar>
      </w:tblPr>
      <w:tblGrid>
        <w:gridCol w:w="484"/>
        <w:gridCol w:w="1551"/>
        <w:gridCol w:w="4980"/>
        <w:gridCol w:w="840"/>
        <w:gridCol w:w="849"/>
      </w:tblGrid>
      <w:tr w14:paraId="2D5181B9">
        <w:tblPrEx>
          <w:tblCellMar>
            <w:top w:w="0" w:type="dxa"/>
            <w:left w:w="0" w:type="dxa"/>
            <w:bottom w:w="0" w:type="dxa"/>
            <w:right w:w="0" w:type="dxa"/>
          </w:tblCellMar>
        </w:tblPrEx>
        <w:trPr>
          <w:trHeight w:val="400"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09B3CBB8">
            <w:pPr>
              <w:autoSpaceDE w:val="0"/>
              <w:autoSpaceDN w:val="0"/>
              <w:adjustRightInd w:val="0"/>
              <w:spacing w:line="239" w:lineRule="exact"/>
              <w:jc w:val="center"/>
              <w:rPr>
                <w:rFonts w:ascii="Times New Roman" w:hAnsi="Times New Roman"/>
                <w:kern w:val="0"/>
                <w:sz w:val="20"/>
                <w:szCs w:val="20"/>
              </w:rPr>
            </w:pPr>
            <w:r>
              <w:rPr>
                <w:rFonts w:ascii="Times New Roman" w:hAnsi="Times New Roman"/>
                <w:kern w:val="0"/>
                <w:sz w:val="20"/>
                <w:szCs w:val="20"/>
              </w:rPr>
              <w:t>序号</w:t>
            </w:r>
          </w:p>
        </w:tc>
        <w:tc>
          <w:tcPr>
            <w:tcW w:w="1551" w:type="dxa"/>
            <w:tcBorders>
              <w:top w:val="single" w:color="000000" w:sz="4" w:space="0"/>
              <w:left w:val="single" w:color="000000" w:sz="4" w:space="0"/>
              <w:bottom w:val="single" w:color="000000" w:sz="4" w:space="0"/>
              <w:right w:val="single" w:color="000000" w:sz="4" w:space="0"/>
            </w:tcBorders>
            <w:vAlign w:val="center"/>
          </w:tcPr>
          <w:p w14:paraId="49C1F796">
            <w:pPr>
              <w:autoSpaceDE w:val="0"/>
              <w:autoSpaceDN w:val="0"/>
              <w:adjustRightInd w:val="0"/>
              <w:spacing w:line="239" w:lineRule="exact"/>
              <w:jc w:val="center"/>
              <w:rPr>
                <w:rFonts w:ascii="Times New Roman" w:hAnsi="Times New Roman"/>
                <w:kern w:val="0"/>
                <w:sz w:val="20"/>
                <w:szCs w:val="20"/>
              </w:rPr>
            </w:pPr>
            <w:r>
              <w:rPr>
                <w:rFonts w:ascii="Times New Roman" w:hAnsi="Times New Roman"/>
                <w:kern w:val="0"/>
                <w:sz w:val="20"/>
                <w:szCs w:val="20"/>
              </w:rPr>
              <w:t>单元</w:t>
            </w:r>
            <w:r>
              <w:rPr>
                <w:rFonts w:ascii="Times New Roman" w:hAnsi="Times New Roman"/>
                <w:spacing w:val="-1"/>
                <w:kern w:val="0"/>
                <w:sz w:val="20"/>
                <w:szCs w:val="20"/>
              </w:rPr>
              <w:t>/</w:t>
            </w:r>
            <w:r>
              <w:rPr>
                <w:rFonts w:ascii="Times New Roman" w:hAnsi="Times New Roman"/>
                <w:kern w:val="0"/>
                <w:sz w:val="20"/>
                <w:szCs w:val="20"/>
              </w:rPr>
              <w:t>类型</w:t>
            </w:r>
          </w:p>
        </w:tc>
        <w:tc>
          <w:tcPr>
            <w:tcW w:w="4980" w:type="dxa"/>
            <w:tcBorders>
              <w:top w:val="single" w:color="000000" w:sz="4" w:space="0"/>
              <w:left w:val="single" w:color="000000" w:sz="4" w:space="0"/>
              <w:bottom w:val="single" w:color="000000" w:sz="4" w:space="0"/>
              <w:right w:val="single" w:color="000000" w:sz="4" w:space="0"/>
            </w:tcBorders>
            <w:vAlign w:val="center"/>
          </w:tcPr>
          <w:p w14:paraId="1AF44263">
            <w:pPr>
              <w:autoSpaceDE w:val="0"/>
              <w:autoSpaceDN w:val="0"/>
              <w:adjustRightInd w:val="0"/>
              <w:spacing w:line="227" w:lineRule="exact"/>
              <w:jc w:val="center"/>
              <w:rPr>
                <w:rFonts w:ascii="Times New Roman" w:hAnsi="Times New Roman"/>
                <w:kern w:val="0"/>
                <w:sz w:val="20"/>
                <w:szCs w:val="20"/>
              </w:rPr>
            </w:pPr>
            <w:r>
              <w:rPr>
                <w:rFonts w:ascii="Times New Roman" w:hAnsi="Times New Roman"/>
                <w:kern w:val="0"/>
                <w:sz w:val="20"/>
                <w:szCs w:val="20"/>
              </w:rPr>
              <w:t>报告、附图和附件名称（</w:t>
            </w:r>
            <w:r>
              <w:rPr>
                <w:rFonts w:hint="eastAsia" w:ascii="Times New Roman" w:hAnsi="Times New Roman"/>
                <w:kern w:val="0"/>
                <w:sz w:val="20"/>
                <w:szCs w:val="20"/>
              </w:rPr>
              <w:t>出图</w:t>
            </w:r>
            <w:r>
              <w:rPr>
                <w:rFonts w:ascii="Times New Roman" w:hAnsi="Times New Roman"/>
                <w:kern w:val="0"/>
                <w:sz w:val="20"/>
                <w:szCs w:val="20"/>
              </w:rPr>
              <w:t>比例</w:t>
            </w:r>
            <w:r>
              <w:rPr>
                <w:rFonts w:ascii="Times New Roman" w:hAnsi="Times New Roman"/>
                <w:spacing w:val="-1"/>
                <w:kern w:val="0"/>
                <w:sz w:val="20"/>
                <w:szCs w:val="20"/>
              </w:rPr>
              <w:t>尺</w:t>
            </w:r>
            <w:r>
              <w:rPr>
                <w:rFonts w:ascii="Times New Roman" w:hAnsi="Times New Roman"/>
                <w:kern w:val="0"/>
                <w:sz w:val="20"/>
                <w:szCs w:val="20"/>
              </w:rPr>
              <w:t>）</w:t>
            </w:r>
          </w:p>
        </w:tc>
        <w:tc>
          <w:tcPr>
            <w:tcW w:w="840" w:type="dxa"/>
            <w:tcBorders>
              <w:top w:val="single" w:color="000000" w:sz="4" w:space="0"/>
              <w:left w:val="single" w:color="000000" w:sz="4" w:space="0"/>
              <w:bottom w:val="single" w:color="000000" w:sz="4" w:space="0"/>
              <w:right w:val="single" w:color="000000" w:sz="4" w:space="0"/>
            </w:tcBorders>
            <w:vAlign w:val="center"/>
          </w:tcPr>
          <w:p w14:paraId="1CF9AC7E">
            <w:pPr>
              <w:autoSpaceDE w:val="0"/>
              <w:autoSpaceDN w:val="0"/>
              <w:adjustRightInd w:val="0"/>
              <w:spacing w:line="239" w:lineRule="exact"/>
              <w:jc w:val="center"/>
              <w:rPr>
                <w:rFonts w:ascii="Times New Roman" w:hAnsi="Times New Roman"/>
                <w:kern w:val="0"/>
                <w:sz w:val="20"/>
                <w:szCs w:val="20"/>
              </w:rPr>
            </w:pPr>
            <w:r>
              <w:rPr>
                <w:rFonts w:ascii="Times New Roman" w:hAnsi="Times New Roman"/>
                <w:kern w:val="0"/>
                <w:sz w:val="20"/>
                <w:szCs w:val="20"/>
              </w:rPr>
              <w:t>必编</w:t>
            </w:r>
          </w:p>
        </w:tc>
        <w:tc>
          <w:tcPr>
            <w:tcW w:w="849" w:type="dxa"/>
            <w:tcBorders>
              <w:top w:val="single" w:color="000000" w:sz="4" w:space="0"/>
              <w:left w:val="single" w:color="000000" w:sz="4" w:space="0"/>
              <w:bottom w:val="single" w:color="000000" w:sz="4" w:space="0"/>
              <w:right w:val="single" w:color="000000" w:sz="4" w:space="0"/>
            </w:tcBorders>
            <w:vAlign w:val="center"/>
          </w:tcPr>
          <w:p w14:paraId="5D017476">
            <w:pPr>
              <w:autoSpaceDE w:val="0"/>
              <w:autoSpaceDN w:val="0"/>
              <w:adjustRightInd w:val="0"/>
              <w:spacing w:line="239" w:lineRule="exact"/>
              <w:jc w:val="center"/>
              <w:rPr>
                <w:rFonts w:ascii="Times New Roman" w:hAnsi="Times New Roman"/>
                <w:kern w:val="0"/>
                <w:sz w:val="20"/>
                <w:szCs w:val="20"/>
              </w:rPr>
            </w:pPr>
            <w:r>
              <w:rPr>
                <w:rFonts w:ascii="Times New Roman" w:hAnsi="Times New Roman"/>
                <w:kern w:val="0"/>
                <w:sz w:val="20"/>
                <w:szCs w:val="20"/>
              </w:rPr>
              <w:t>选编</w:t>
            </w:r>
          </w:p>
        </w:tc>
      </w:tr>
      <w:tr w14:paraId="38A8F844">
        <w:tblPrEx>
          <w:tblCellMar>
            <w:top w:w="0" w:type="dxa"/>
            <w:left w:w="0" w:type="dxa"/>
            <w:bottom w:w="0" w:type="dxa"/>
            <w:right w:w="0" w:type="dxa"/>
          </w:tblCellMar>
        </w:tblPrEx>
        <w:trPr>
          <w:trHeight w:val="269"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7CDB1CD4">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1</w:t>
            </w:r>
          </w:p>
        </w:tc>
        <w:tc>
          <w:tcPr>
            <w:tcW w:w="1551" w:type="dxa"/>
            <w:vMerge w:val="restart"/>
            <w:tcBorders>
              <w:top w:val="single" w:color="000000" w:sz="4" w:space="0"/>
              <w:left w:val="single" w:color="000000" w:sz="4" w:space="0"/>
              <w:right w:val="single" w:color="000000" w:sz="4" w:space="0"/>
            </w:tcBorders>
            <w:vAlign w:val="center"/>
          </w:tcPr>
          <w:p w14:paraId="24CBC822">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城镇（乡镇）</w:t>
            </w:r>
          </w:p>
        </w:tc>
        <w:tc>
          <w:tcPr>
            <w:tcW w:w="4980" w:type="dxa"/>
            <w:tcBorders>
              <w:top w:val="single" w:color="000000" w:sz="4" w:space="0"/>
              <w:left w:val="single" w:color="000000" w:sz="4" w:space="0"/>
              <w:bottom w:val="single" w:color="000000" w:sz="4" w:space="0"/>
              <w:right w:val="single" w:color="000000" w:sz="4" w:space="0"/>
            </w:tcBorders>
            <w:vAlign w:val="center"/>
          </w:tcPr>
          <w:p w14:paraId="15FF422B">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地质灾害风险调查实际材料图（1:10 000）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2D029AB5">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35BC5439">
            <w:pPr>
              <w:autoSpaceDE w:val="0"/>
              <w:autoSpaceDN w:val="0"/>
              <w:adjustRightInd w:val="0"/>
              <w:jc w:val="center"/>
              <w:rPr>
                <w:rFonts w:ascii="Times New Roman" w:hAnsi="Times New Roman"/>
                <w:kern w:val="0"/>
                <w:sz w:val="20"/>
                <w:szCs w:val="20"/>
              </w:rPr>
            </w:pPr>
          </w:p>
        </w:tc>
      </w:tr>
      <w:tr w14:paraId="42C1F4B3">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0359CA23">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2</w:t>
            </w:r>
          </w:p>
        </w:tc>
        <w:tc>
          <w:tcPr>
            <w:tcW w:w="1551" w:type="dxa"/>
            <w:vMerge w:val="continue"/>
            <w:tcBorders>
              <w:left w:val="single" w:color="000000" w:sz="4" w:space="0"/>
              <w:right w:val="single" w:color="000000" w:sz="4" w:space="0"/>
            </w:tcBorders>
            <w:vAlign w:val="center"/>
          </w:tcPr>
          <w:p w14:paraId="506E6D16">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2C51AB1B">
            <w:pPr>
              <w:autoSpaceDE w:val="0"/>
              <w:autoSpaceDN w:val="0"/>
              <w:adjustRightInd w:val="0"/>
              <w:spacing w:line="226" w:lineRule="exact"/>
              <w:jc w:val="left"/>
              <w:rPr>
                <w:rFonts w:ascii="Times New Roman" w:hAnsi="Times New Roman"/>
                <w:kern w:val="0"/>
                <w:sz w:val="20"/>
                <w:szCs w:val="20"/>
              </w:rPr>
            </w:pPr>
            <w:r>
              <w:rPr>
                <w:rFonts w:ascii="Times New Roman" w:hAnsi="Times New Roman"/>
                <w:kern w:val="0"/>
                <w:sz w:val="20"/>
                <w:szCs w:val="20"/>
              </w:rPr>
              <w:t>孕灾地质环境条件图（1:10 000）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0BE80435">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7F6EA62F">
            <w:pPr>
              <w:autoSpaceDE w:val="0"/>
              <w:autoSpaceDN w:val="0"/>
              <w:adjustRightInd w:val="0"/>
              <w:jc w:val="center"/>
              <w:rPr>
                <w:rFonts w:ascii="Times New Roman" w:hAnsi="Times New Roman"/>
                <w:kern w:val="0"/>
                <w:sz w:val="20"/>
                <w:szCs w:val="20"/>
              </w:rPr>
            </w:pPr>
          </w:p>
        </w:tc>
      </w:tr>
      <w:tr w14:paraId="0DD609E1">
        <w:tblPrEx>
          <w:tblCellMar>
            <w:top w:w="0" w:type="dxa"/>
            <w:left w:w="0" w:type="dxa"/>
            <w:bottom w:w="0" w:type="dxa"/>
            <w:right w:w="0" w:type="dxa"/>
          </w:tblCellMar>
        </w:tblPrEx>
        <w:trPr>
          <w:trHeight w:val="268"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69474D2B">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3</w:t>
            </w:r>
          </w:p>
        </w:tc>
        <w:tc>
          <w:tcPr>
            <w:tcW w:w="1551" w:type="dxa"/>
            <w:vMerge w:val="continue"/>
            <w:tcBorders>
              <w:left w:val="single" w:color="000000" w:sz="4" w:space="0"/>
              <w:right w:val="single" w:color="000000" w:sz="4" w:space="0"/>
            </w:tcBorders>
            <w:vAlign w:val="center"/>
          </w:tcPr>
          <w:p w14:paraId="0579C31F">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5BACDF30">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地质灾害遥感解译图（1:10 000）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04987DFA">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20BEA339">
            <w:pPr>
              <w:autoSpaceDE w:val="0"/>
              <w:autoSpaceDN w:val="0"/>
              <w:adjustRightInd w:val="0"/>
              <w:jc w:val="center"/>
              <w:rPr>
                <w:rFonts w:ascii="Times New Roman" w:hAnsi="Times New Roman"/>
                <w:kern w:val="0"/>
                <w:sz w:val="20"/>
                <w:szCs w:val="20"/>
              </w:rPr>
            </w:pPr>
          </w:p>
        </w:tc>
      </w:tr>
      <w:tr w14:paraId="1B381ADD">
        <w:tblPrEx>
          <w:tblCellMar>
            <w:top w:w="0" w:type="dxa"/>
            <w:left w:w="0" w:type="dxa"/>
            <w:bottom w:w="0" w:type="dxa"/>
            <w:right w:w="0" w:type="dxa"/>
          </w:tblCellMar>
        </w:tblPrEx>
        <w:trPr>
          <w:trHeight w:val="268"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3CFF220F">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4</w:t>
            </w:r>
          </w:p>
        </w:tc>
        <w:tc>
          <w:tcPr>
            <w:tcW w:w="1551" w:type="dxa"/>
            <w:vMerge w:val="continue"/>
            <w:tcBorders>
              <w:left w:val="single" w:color="000000" w:sz="4" w:space="0"/>
              <w:right w:val="single" w:color="000000" w:sz="4" w:space="0"/>
            </w:tcBorders>
            <w:vAlign w:val="center"/>
          </w:tcPr>
          <w:p w14:paraId="6050F13E">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2F96C185">
            <w:pPr>
              <w:autoSpaceDE w:val="0"/>
              <w:autoSpaceDN w:val="0"/>
              <w:adjustRightInd w:val="0"/>
              <w:spacing w:line="227" w:lineRule="exact"/>
              <w:jc w:val="left"/>
              <w:rPr>
                <w:rFonts w:ascii="Times New Roman" w:hAnsi="Times New Roman"/>
                <w:kern w:val="0"/>
                <w:sz w:val="20"/>
                <w:szCs w:val="20"/>
              </w:rPr>
            </w:pPr>
            <w:r>
              <w:rPr>
                <w:rFonts w:hint="eastAsia" w:ascii="Times New Roman" w:hAnsi="Times New Roman"/>
                <w:kern w:val="0"/>
                <w:sz w:val="20"/>
                <w:szCs w:val="20"/>
              </w:rPr>
              <w:t>地质灾害易发性评价图</w:t>
            </w:r>
          </w:p>
        </w:tc>
        <w:tc>
          <w:tcPr>
            <w:tcW w:w="840" w:type="dxa"/>
            <w:tcBorders>
              <w:top w:val="single" w:color="000000" w:sz="4" w:space="0"/>
              <w:left w:val="single" w:color="000000" w:sz="4" w:space="0"/>
              <w:bottom w:val="single" w:color="000000" w:sz="4" w:space="0"/>
              <w:right w:val="single" w:color="000000" w:sz="4" w:space="0"/>
            </w:tcBorders>
            <w:vAlign w:val="center"/>
          </w:tcPr>
          <w:p w14:paraId="1BFBCE0A">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3C8ED61">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724DDC82">
        <w:tblPrEx>
          <w:tblCellMar>
            <w:top w:w="0" w:type="dxa"/>
            <w:left w:w="0" w:type="dxa"/>
            <w:bottom w:w="0" w:type="dxa"/>
            <w:right w:w="0" w:type="dxa"/>
          </w:tblCellMar>
        </w:tblPrEx>
        <w:trPr>
          <w:trHeight w:val="268"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0E92E412">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5</w:t>
            </w:r>
          </w:p>
        </w:tc>
        <w:tc>
          <w:tcPr>
            <w:tcW w:w="1551" w:type="dxa"/>
            <w:vMerge w:val="continue"/>
            <w:tcBorders>
              <w:left w:val="single" w:color="000000" w:sz="4" w:space="0"/>
              <w:right w:val="single" w:color="000000" w:sz="4" w:space="0"/>
            </w:tcBorders>
            <w:vAlign w:val="center"/>
          </w:tcPr>
          <w:p w14:paraId="2FC876B2">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760B0ABF">
            <w:pPr>
              <w:autoSpaceDE w:val="0"/>
              <w:autoSpaceDN w:val="0"/>
              <w:adjustRightInd w:val="0"/>
              <w:spacing w:line="227" w:lineRule="exact"/>
              <w:jc w:val="left"/>
              <w:rPr>
                <w:rFonts w:ascii="Times New Roman" w:hAnsi="Times New Roman"/>
                <w:kern w:val="0"/>
                <w:sz w:val="20"/>
                <w:szCs w:val="20"/>
              </w:rPr>
            </w:pPr>
            <w:r>
              <w:rPr>
                <w:rFonts w:hint="eastAsia" w:ascii="Times New Roman" w:hAnsi="Times New Roman"/>
                <w:kern w:val="0"/>
                <w:sz w:val="20"/>
                <w:szCs w:val="20"/>
              </w:rPr>
              <w:t>地质灾害危险性评价图</w:t>
            </w:r>
          </w:p>
        </w:tc>
        <w:tc>
          <w:tcPr>
            <w:tcW w:w="840" w:type="dxa"/>
            <w:tcBorders>
              <w:top w:val="single" w:color="000000" w:sz="4" w:space="0"/>
              <w:left w:val="single" w:color="000000" w:sz="4" w:space="0"/>
              <w:bottom w:val="single" w:color="000000" w:sz="4" w:space="0"/>
              <w:right w:val="single" w:color="000000" w:sz="4" w:space="0"/>
            </w:tcBorders>
            <w:vAlign w:val="center"/>
          </w:tcPr>
          <w:p w14:paraId="653B42DE">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547AF2E7">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76DEBDF2">
        <w:tblPrEx>
          <w:tblCellMar>
            <w:top w:w="0" w:type="dxa"/>
            <w:left w:w="0" w:type="dxa"/>
            <w:bottom w:w="0" w:type="dxa"/>
            <w:right w:w="0" w:type="dxa"/>
          </w:tblCellMar>
        </w:tblPrEx>
        <w:trPr>
          <w:trHeight w:val="268"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4A330864">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6</w:t>
            </w:r>
          </w:p>
        </w:tc>
        <w:tc>
          <w:tcPr>
            <w:tcW w:w="1551" w:type="dxa"/>
            <w:vMerge w:val="continue"/>
            <w:tcBorders>
              <w:left w:val="single" w:color="000000" w:sz="4" w:space="0"/>
              <w:right w:val="single" w:color="000000" w:sz="4" w:space="0"/>
            </w:tcBorders>
            <w:vAlign w:val="center"/>
          </w:tcPr>
          <w:p w14:paraId="25992A65">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26F28638">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w:t>
            </w:r>
            <w:r>
              <w:rPr>
                <w:rFonts w:hint="eastAsia" w:ascii="Times New Roman" w:hAnsi="Times New Roman"/>
                <w:kern w:val="0"/>
                <w:sz w:val="20"/>
                <w:szCs w:val="20"/>
              </w:rPr>
              <w:t>人员伤亡</w:t>
            </w:r>
            <w:r>
              <w:rPr>
                <w:rFonts w:ascii="Times New Roman" w:hAnsi="Times New Roman"/>
                <w:kern w:val="0"/>
                <w:sz w:val="20"/>
                <w:szCs w:val="20"/>
              </w:rPr>
              <w:t>风险评价图（1:10 000）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037FBBEF">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2FBE892">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45B3E847">
        <w:tblPrEx>
          <w:tblCellMar>
            <w:top w:w="0" w:type="dxa"/>
            <w:left w:w="0" w:type="dxa"/>
            <w:bottom w:w="0" w:type="dxa"/>
            <w:right w:w="0" w:type="dxa"/>
          </w:tblCellMar>
        </w:tblPrEx>
        <w:trPr>
          <w:trHeight w:val="268"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5E06EEC8">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7</w:t>
            </w:r>
          </w:p>
        </w:tc>
        <w:tc>
          <w:tcPr>
            <w:tcW w:w="1551" w:type="dxa"/>
            <w:vMerge w:val="continue"/>
            <w:tcBorders>
              <w:left w:val="single" w:color="000000" w:sz="4" w:space="0"/>
              <w:right w:val="single" w:color="000000" w:sz="4" w:space="0"/>
            </w:tcBorders>
            <w:vAlign w:val="center"/>
          </w:tcPr>
          <w:p w14:paraId="71AF7349">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05CF128F">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w:t>
            </w:r>
            <w:r>
              <w:rPr>
                <w:rFonts w:hint="eastAsia" w:ascii="Times New Roman" w:hAnsi="Times New Roman"/>
                <w:kern w:val="0"/>
                <w:sz w:val="20"/>
                <w:szCs w:val="20"/>
              </w:rPr>
              <w:t>经济损失</w:t>
            </w:r>
            <w:r>
              <w:rPr>
                <w:rFonts w:ascii="Times New Roman" w:hAnsi="Times New Roman"/>
                <w:kern w:val="0"/>
                <w:sz w:val="20"/>
                <w:szCs w:val="20"/>
              </w:rPr>
              <w:t>风险评价图（1:10 000）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4ECDB0D3">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65894B7">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4816358D">
        <w:tblPrEx>
          <w:tblCellMar>
            <w:top w:w="0" w:type="dxa"/>
            <w:left w:w="0" w:type="dxa"/>
            <w:bottom w:w="0" w:type="dxa"/>
            <w:right w:w="0" w:type="dxa"/>
          </w:tblCellMar>
        </w:tblPrEx>
        <w:trPr>
          <w:trHeight w:val="268"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291417A8">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8</w:t>
            </w:r>
          </w:p>
        </w:tc>
        <w:tc>
          <w:tcPr>
            <w:tcW w:w="1551" w:type="dxa"/>
            <w:vMerge w:val="continue"/>
            <w:tcBorders>
              <w:left w:val="single" w:color="000000" w:sz="4" w:space="0"/>
              <w:right w:val="single" w:color="000000" w:sz="4" w:space="0"/>
            </w:tcBorders>
            <w:vAlign w:val="center"/>
          </w:tcPr>
          <w:p w14:paraId="42AFEE66">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7B94148D">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地质灾害综合风险评价图（1:10 000）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428D931B">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64834D15">
            <w:pPr>
              <w:autoSpaceDE w:val="0"/>
              <w:autoSpaceDN w:val="0"/>
              <w:adjustRightInd w:val="0"/>
              <w:jc w:val="center"/>
              <w:rPr>
                <w:rFonts w:ascii="Times New Roman" w:hAnsi="Times New Roman"/>
                <w:kern w:val="0"/>
                <w:sz w:val="20"/>
                <w:szCs w:val="20"/>
              </w:rPr>
            </w:pPr>
          </w:p>
        </w:tc>
      </w:tr>
      <w:tr w14:paraId="5D36752B">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000000" w:sz="4" w:space="0"/>
            </w:tcBorders>
            <w:vAlign w:val="center"/>
          </w:tcPr>
          <w:p w14:paraId="5059EEF5">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9</w:t>
            </w:r>
          </w:p>
        </w:tc>
        <w:tc>
          <w:tcPr>
            <w:tcW w:w="1551" w:type="dxa"/>
            <w:vMerge w:val="continue"/>
            <w:tcBorders>
              <w:left w:val="single" w:color="000000" w:sz="4" w:space="0"/>
              <w:bottom w:val="single" w:color="auto" w:sz="4" w:space="0"/>
              <w:right w:val="single" w:color="000000" w:sz="4" w:space="0"/>
            </w:tcBorders>
            <w:vAlign w:val="center"/>
          </w:tcPr>
          <w:p w14:paraId="3237A6B8">
            <w:pPr>
              <w:widowControl/>
              <w:jc w:val="center"/>
              <w:rPr>
                <w:rFonts w:ascii="Times New Roman" w:hAnsi="Times New Roman"/>
                <w:kern w:val="0"/>
                <w:sz w:val="20"/>
                <w:szCs w:val="20"/>
              </w:rPr>
            </w:pPr>
          </w:p>
        </w:tc>
        <w:tc>
          <w:tcPr>
            <w:tcW w:w="4980" w:type="dxa"/>
            <w:tcBorders>
              <w:top w:val="single" w:color="000000" w:sz="4" w:space="0"/>
              <w:left w:val="single" w:color="000000" w:sz="4" w:space="0"/>
              <w:bottom w:val="single" w:color="000000" w:sz="4" w:space="0"/>
              <w:right w:val="single" w:color="000000" w:sz="4" w:space="0"/>
            </w:tcBorders>
            <w:vAlign w:val="center"/>
          </w:tcPr>
          <w:p w14:paraId="18DA1E2C">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地质灾害防治区划图（1:10 000）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7D6615AD">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5212C3A5">
            <w:pPr>
              <w:autoSpaceDE w:val="0"/>
              <w:autoSpaceDN w:val="0"/>
              <w:adjustRightInd w:val="0"/>
              <w:jc w:val="center"/>
              <w:rPr>
                <w:rFonts w:ascii="Times New Roman" w:hAnsi="Times New Roman"/>
                <w:kern w:val="0"/>
                <w:sz w:val="20"/>
                <w:szCs w:val="20"/>
              </w:rPr>
            </w:pPr>
          </w:p>
        </w:tc>
      </w:tr>
      <w:tr w14:paraId="1D5F8234">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1179F1D6">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10</w:t>
            </w:r>
          </w:p>
        </w:tc>
        <w:tc>
          <w:tcPr>
            <w:tcW w:w="1551" w:type="dxa"/>
            <w:vMerge w:val="restart"/>
            <w:tcBorders>
              <w:top w:val="single" w:color="auto" w:sz="4" w:space="0"/>
              <w:left w:val="single" w:color="auto" w:sz="4" w:space="0"/>
              <w:bottom w:val="single" w:color="auto" w:sz="4" w:space="0"/>
              <w:right w:val="single" w:color="auto" w:sz="4" w:space="0"/>
            </w:tcBorders>
            <w:vAlign w:val="center"/>
          </w:tcPr>
          <w:p w14:paraId="3E696049">
            <w:pPr>
              <w:widowControl/>
              <w:adjustRightInd w:val="0"/>
              <w:snapToGrid w:val="0"/>
              <w:jc w:val="center"/>
              <w:rPr>
                <w:rFonts w:hint="eastAsia" w:ascii="Times New Roman" w:hAnsi="Times New Roman"/>
                <w:kern w:val="0"/>
                <w:sz w:val="20"/>
                <w:szCs w:val="20"/>
              </w:rPr>
            </w:pPr>
            <w:r>
              <w:rPr>
                <w:rFonts w:hint="eastAsia" w:ascii="Times New Roman" w:hAnsi="Times New Roman"/>
                <w:kern w:val="0"/>
                <w:sz w:val="20"/>
                <w:szCs w:val="20"/>
              </w:rPr>
              <w:t>重点调查区</w:t>
            </w:r>
          </w:p>
        </w:tc>
        <w:tc>
          <w:tcPr>
            <w:tcW w:w="4980" w:type="dxa"/>
            <w:tcBorders>
              <w:top w:val="single" w:color="000000" w:sz="4" w:space="0"/>
              <w:left w:val="single" w:color="auto" w:sz="4" w:space="0"/>
              <w:bottom w:val="single" w:color="000000" w:sz="4" w:space="0"/>
              <w:right w:val="single" w:color="000000" w:sz="4" w:space="0"/>
            </w:tcBorders>
            <w:vAlign w:val="center"/>
          </w:tcPr>
          <w:p w14:paraId="793FBD2A">
            <w:pPr>
              <w:autoSpaceDE w:val="0"/>
              <w:autoSpaceDN w:val="0"/>
              <w:adjustRightInd w:val="0"/>
              <w:spacing w:line="227" w:lineRule="exact"/>
              <w:jc w:val="left"/>
              <w:rPr>
                <w:rFonts w:hint="eastAsia" w:ascii="Times New Roman" w:hAnsi="Times New Roman"/>
                <w:kern w:val="0"/>
                <w:sz w:val="20"/>
                <w:szCs w:val="20"/>
              </w:rPr>
            </w:pPr>
            <w:r>
              <w:rPr>
                <w:rFonts w:hint="eastAsia" w:ascii="Times New Roman" w:hAnsi="Times New Roman"/>
                <w:kern w:val="0"/>
                <w:sz w:val="20"/>
                <w:szCs w:val="20"/>
              </w:rPr>
              <w:t>地质灾害遥感影像图（1</w:t>
            </w:r>
            <w:r>
              <w:rPr>
                <w:rFonts w:ascii="Times New Roman" w:hAnsi="Times New Roman"/>
                <w:kern w:val="0"/>
                <w:sz w:val="20"/>
                <w:szCs w:val="20"/>
              </w:rPr>
              <w:t>:</w:t>
            </w:r>
            <w:r>
              <w:rPr>
                <w:rFonts w:hint="eastAsia" w:ascii="Times New Roman" w:hAnsi="Times New Roman"/>
                <w:kern w:val="0"/>
                <w:sz w:val="20"/>
                <w:szCs w:val="20"/>
              </w:rPr>
              <w:t>2 000）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1AF2DC06">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028B4F8">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65890852">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7F4EF07A">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11</w:t>
            </w:r>
          </w:p>
        </w:tc>
        <w:tc>
          <w:tcPr>
            <w:tcW w:w="1551" w:type="dxa"/>
            <w:vMerge w:val="continue"/>
            <w:tcBorders>
              <w:top w:val="single" w:color="auto" w:sz="4" w:space="0"/>
              <w:left w:val="single" w:color="auto" w:sz="4" w:space="0"/>
              <w:bottom w:val="single" w:color="auto" w:sz="4" w:space="0"/>
              <w:right w:val="single" w:color="auto" w:sz="4" w:space="0"/>
            </w:tcBorders>
            <w:vAlign w:val="center"/>
          </w:tcPr>
          <w:p w14:paraId="20FE8981">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4192F7FE">
            <w:pPr>
              <w:autoSpaceDE w:val="0"/>
              <w:autoSpaceDN w:val="0"/>
              <w:adjustRightInd w:val="0"/>
              <w:spacing w:line="227" w:lineRule="exact"/>
              <w:jc w:val="left"/>
              <w:rPr>
                <w:rFonts w:ascii="Times New Roman" w:hAnsi="Times New Roman"/>
                <w:kern w:val="0"/>
                <w:sz w:val="20"/>
                <w:szCs w:val="20"/>
              </w:rPr>
            </w:pPr>
            <w:r>
              <w:rPr>
                <w:rFonts w:hint="eastAsia" w:ascii="Times New Roman" w:hAnsi="Times New Roman"/>
                <w:kern w:val="0"/>
                <w:sz w:val="20"/>
                <w:szCs w:val="20"/>
              </w:rPr>
              <w:t>地质灾害风险评价图（1</w:t>
            </w:r>
            <w:r>
              <w:rPr>
                <w:rFonts w:ascii="Times New Roman" w:hAnsi="Times New Roman"/>
                <w:kern w:val="0"/>
                <w:sz w:val="20"/>
                <w:szCs w:val="20"/>
              </w:rPr>
              <w:t>:</w:t>
            </w:r>
            <w:r>
              <w:rPr>
                <w:rFonts w:hint="eastAsia" w:ascii="Times New Roman" w:hAnsi="Times New Roman"/>
                <w:kern w:val="0"/>
                <w:sz w:val="20"/>
                <w:szCs w:val="20"/>
              </w:rPr>
              <w:t>2 000）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72BFCDF4">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2FA5B10">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69D28438">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3B7838C6">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12</w:t>
            </w:r>
          </w:p>
        </w:tc>
        <w:tc>
          <w:tcPr>
            <w:tcW w:w="1551" w:type="dxa"/>
            <w:vMerge w:val="restart"/>
            <w:tcBorders>
              <w:top w:val="single" w:color="auto" w:sz="4" w:space="0"/>
              <w:left w:val="single" w:color="auto" w:sz="4" w:space="0"/>
              <w:right w:val="single" w:color="auto" w:sz="4" w:space="0"/>
            </w:tcBorders>
            <w:vAlign w:val="center"/>
          </w:tcPr>
          <w:p w14:paraId="1B5023AB">
            <w:pPr>
              <w:widowControl/>
              <w:adjustRightInd w:val="0"/>
              <w:snapToGrid w:val="0"/>
              <w:jc w:val="center"/>
              <w:rPr>
                <w:rFonts w:ascii="Times New Roman" w:hAnsi="Times New Roman"/>
                <w:kern w:val="0"/>
                <w:sz w:val="20"/>
                <w:szCs w:val="20"/>
              </w:rPr>
            </w:pPr>
            <w:r>
              <w:rPr>
                <w:rFonts w:hint="eastAsia" w:ascii="Times New Roman" w:hAnsi="Times New Roman"/>
                <w:kern w:val="0"/>
                <w:sz w:val="20"/>
                <w:szCs w:val="20"/>
              </w:rPr>
              <w:t>地质灾害勘查点</w:t>
            </w:r>
          </w:p>
        </w:tc>
        <w:tc>
          <w:tcPr>
            <w:tcW w:w="4980" w:type="dxa"/>
            <w:tcBorders>
              <w:top w:val="single" w:color="000000" w:sz="4" w:space="0"/>
              <w:left w:val="single" w:color="auto" w:sz="4" w:space="0"/>
              <w:bottom w:val="single" w:color="000000" w:sz="4" w:space="0"/>
              <w:right w:val="single" w:color="000000" w:sz="4" w:space="0"/>
            </w:tcBorders>
            <w:vAlign w:val="center"/>
          </w:tcPr>
          <w:p w14:paraId="046650C0">
            <w:pPr>
              <w:autoSpaceDE w:val="0"/>
              <w:autoSpaceDN w:val="0"/>
              <w:adjustRightInd w:val="0"/>
              <w:spacing w:line="227" w:lineRule="exact"/>
              <w:jc w:val="left"/>
              <w:rPr>
                <w:rFonts w:hint="eastAsia" w:ascii="Times New Roman" w:hAnsi="Times New Roman"/>
                <w:kern w:val="0"/>
                <w:sz w:val="20"/>
                <w:szCs w:val="20"/>
              </w:rPr>
            </w:pPr>
            <w:r>
              <w:rPr>
                <w:rFonts w:ascii="Times New Roman" w:hAnsi="Times New Roman"/>
                <w:kern w:val="0"/>
                <w:sz w:val="20"/>
                <w:szCs w:val="20"/>
              </w:rPr>
              <w:t>无人机</w:t>
            </w:r>
            <w:r>
              <w:rPr>
                <w:rFonts w:hint="eastAsia" w:ascii="Times New Roman" w:hAnsi="Times New Roman"/>
                <w:kern w:val="0"/>
                <w:sz w:val="20"/>
                <w:szCs w:val="20"/>
              </w:rPr>
              <w:t>测量</w:t>
            </w:r>
            <w:r>
              <w:rPr>
                <w:rFonts w:ascii="Times New Roman" w:hAnsi="Times New Roman"/>
                <w:kern w:val="0"/>
                <w:sz w:val="20"/>
                <w:szCs w:val="20"/>
              </w:rPr>
              <w:t>正射影像</w:t>
            </w:r>
            <w:r>
              <w:rPr>
                <w:rFonts w:ascii="Times New Roman" w:hAnsi="Times New Roman"/>
                <w:spacing w:val="-1"/>
                <w:kern w:val="0"/>
                <w:sz w:val="20"/>
                <w:szCs w:val="20"/>
              </w:rPr>
              <w:t>图</w:t>
            </w:r>
            <w:r>
              <w:rPr>
                <w:rFonts w:hint="eastAsia" w:ascii="Times New Roman" w:hAnsi="Times New Roman"/>
                <w:spacing w:val="-1"/>
                <w:kern w:val="0"/>
                <w:sz w:val="20"/>
                <w:szCs w:val="20"/>
              </w:rPr>
              <w:t>（DOM）</w:t>
            </w:r>
          </w:p>
        </w:tc>
        <w:tc>
          <w:tcPr>
            <w:tcW w:w="840" w:type="dxa"/>
            <w:tcBorders>
              <w:top w:val="single" w:color="000000" w:sz="4" w:space="0"/>
              <w:left w:val="single" w:color="000000" w:sz="4" w:space="0"/>
              <w:bottom w:val="single" w:color="000000" w:sz="4" w:space="0"/>
              <w:right w:val="single" w:color="000000" w:sz="4" w:space="0"/>
            </w:tcBorders>
            <w:vAlign w:val="center"/>
          </w:tcPr>
          <w:p w14:paraId="62F370C9">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5785CC86">
            <w:pPr>
              <w:autoSpaceDE w:val="0"/>
              <w:autoSpaceDN w:val="0"/>
              <w:adjustRightInd w:val="0"/>
              <w:jc w:val="center"/>
              <w:rPr>
                <w:rFonts w:ascii="Times New Roman" w:hAnsi="Times New Roman"/>
                <w:kern w:val="0"/>
                <w:sz w:val="20"/>
                <w:szCs w:val="20"/>
              </w:rPr>
            </w:pPr>
          </w:p>
        </w:tc>
      </w:tr>
      <w:tr w14:paraId="5DCF709F">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2C8FCFA9">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13</w:t>
            </w:r>
          </w:p>
        </w:tc>
        <w:tc>
          <w:tcPr>
            <w:tcW w:w="1551" w:type="dxa"/>
            <w:vMerge w:val="continue"/>
            <w:tcBorders>
              <w:left w:val="single" w:color="auto" w:sz="4" w:space="0"/>
              <w:right w:val="single" w:color="auto" w:sz="4" w:space="0"/>
            </w:tcBorders>
            <w:vAlign w:val="center"/>
          </w:tcPr>
          <w:p w14:paraId="71C36FD5">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2569A4E7">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地质灾害工程地质测绘</w:t>
            </w:r>
            <w:r>
              <w:rPr>
                <w:rFonts w:ascii="Times New Roman" w:hAnsi="Times New Roman"/>
                <w:spacing w:val="-1"/>
                <w:kern w:val="0"/>
                <w:sz w:val="20"/>
                <w:szCs w:val="20"/>
              </w:rPr>
              <w:t>平</w:t>
            </w:r>
            <w:r>
              <w:rPr>
                <w:rFonts w:ascii="Times New Roman" w:hAnsi="Times New Roman"/>
                <w:kern w:val="0"/>
                <w:sz w:val="20"/>
                <w:szCs w:val="20"/>
              </w:rPr>
              <w:t>面图（</w:t>
            </w:r>
            <w:r>
              <w:rPr>
                <w:rFonts w:ascii="Times New Roman" w:hAnsi="Times New Roman"/>
                <w:sz w:val="20"/>
                <w:szCs w:val="20"/>
              </w:rPr>
              <w:t>1:</w:t>
            </w:r>
            <w:r>
              <w:rPr>
                <w:rFonts w:hint="eastAsia" w:ascii="Times New Roman" w:hAnsi="Times New Roman"/>
                <w:sz w:val="20"/>
                <w:szCs w:val="20"/>
              </w:rPr>
              <w:t>2 0</w:t>
            </w:r>
            <w:r>
              <w:rPr>
                <w:rFonts w:ascii="Times New Roman" w:hAnsi="Times New Roman"/>
                <w:sz w:val="20"/>
                <w:szCs w:val="20"/>
              </w:rPr>
              <w:t>00～1:</w:t>
            </w:r>
            <w:r>
              <w:rPr>
                <w:rFonts w:hint="eastAsia" w:ascii="Times New Roman" w:hAnsi="Times New Roman"/>
                <w:sz w:val="20"/>
                <w:szCs w:val="20"/>
              </w:rPr>
              <w:t>5</w:t>
            </w:r>
            <w:r>
              <w:rPr>
                <w:rFonts w:ascii="Times New Roman" w:hAnsi="Times New Roman"/>
                <w:sz w:val="20"/>
                <w:szCs w:val="20"/>
              </w:rPr>
              <w:t>00</w:t>
            </w:r>
            <w:r>
              <w:rPr>
                <w:rFonts w:ascii="Times New Roman" w:hAnsi="Times New Roman"/>
                <w:kern w:val="0"/>
                <w:sz w:val="20"/>
                <w:szCs w:val="20"/>
              </w:rPr>
              <w:t>）</w:t>
            </w:r>
          </w:p>
        </w:tc>
        <w:tc>
          <w:tcPr>
            <w:tcW w:w="840" w:type="dxa"/>
            <w:tcBorders>
              <w:top w:val="single" w:color="000000" w:sz="4" w:space="0"/>
              <w:left w:val="single" w:color="000000" w:sz="4" w:space="0"/>
              <w:bottom w:val="single" w:color="000000" w:sz="4" w:space="0"/>
              <w:right w:val="single" w:color="000000" w:sz="4" w:space="0"/>
            </w:tcBorders>
            <w:vAlign w:val="center"/>
          </w:tcPr>
          <w:p w14:paraId="2DED7A8D">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686302E5">
            <w:pPr>
              <w:autoSpaceDE w:val="0"/>
              <w:autoSpaceDN w:val="0"/>
              <w:adjustRightInd w:val="0"/>
              <w:jc w:val="center"/>
              <w:rPr>
                <w:rFonts w:ascii="Times New Roman" w:hAnsi="Times New Roman"/>
                <w:kern w:val="0"/>
                <w:sz w:val="20"/>
                <w:szCs w:val="20"/>
              </w:rPr>
            </w:pPr>
          </w:p>
        </w:tc>
      </w:tr>
      <w:tr w14:paraId="6ABEF7DC">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6DBB4C7A">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14</w:t>
            </w:r>
          </w:p>
        </w:tc>
        <w:tc>
          <w:tcPr>
            <w:tcW w:w="1551" w:type="dxa"/>
            <w:vMerge w:val="continue"/>
            <w:tcBorders>
              <w:left w:val="single" w:color="auto" w:sz="4" w:space="0"/>
              <w:right w:val="single" w:color="auto" w:sz="4" w:space="0"/>
            </w:tcBorders>
            <w:vAlign w:val="center"/>
          </w:tcPr>
          <w:p w14:paraId="23C62FEB">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18D56BC2">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地质灾害工程实测剖面</w:t>
            </w:r>
            <w:r>
              <w:rPr>
                <w:rFonts w:ascii="Times New Roman" w:hAnsi="Times New Roman"/>
                <w:spacing w:val="-1"/>
                <w:kern w:val="0"/>
                <w:sz w:val="20"/>
                <w:szCs w:val="20"/>
              </w:rPr>
              <w:t>图</w:t>
            </w:r>
            <w:r>
              <w:rPr>
                <w:rFonts w:ascii="Times New Roman" w:hAnsi="Times New Roman"/>
                <w:kern w:val="0"/>
                <w:sz w:val="20"/>
                <w:szCs w:val="20"/>
              </w:rPr>
              <w:t>（不小于1:1</w:t>
            </w:r>
            <w:r>
              <w:rPr>
                <w:rFonts w:hint="eastAsia" w:ascii="Times New Roman" w:hAnsi="Times New Roman"/>
                <w:kern w:val="0"/>
                <w:sz w:val="20"/>
                <w:szCs w:val="20"/>
              </w:rPr>
              <w:t xml:space="preserve"> </w:t>
            </w:r>
            <w:r>
              <w:rPr>
                <w:rFonts w:ascii="Times New Roman" w:hAnsi="Times New Roman"/>
                <w:kern w:val="0"/>
                <w:sz w:val="20"/>
                <w:szCs w:val="20"/>
              </w:rPr>
              <w:t>00</w:t>
            </w:r>
            <w:r>
              <w:rPr>
                <w:rFonts w:ascii="Times New Roman" w:hAnsi="Times New Roman"/>
                <w:spacing w:val="1"/>
                <w:kern w:val="0"/>
                <w:sz w:val="20"/>
                <w:szCs w:val="20"/>
              </w:rPr>
              <w:t>0</w:t>
            </w:r>
            <w:r>
              <w:rPr>
                <w:rFonts w:ascii="Times New Roman" w:hAnsi="Times New Roman"/>
                <w:kern w:val="0"/>
                <w:sz w:val="20"/>
                <w:szCs w:val="20"/>
              </w:rPr>
              <w:t>）</w:t>
            </w:r>
          </w:p>
        </w:tc>
        <w:tc>
          <w:tcPr>
            <w:tcW w:w="840" w:type="dxa"/>
            <w:tcBorders>
              <w:top w:val="single" w:color="000000" w:sz="4" w:space="0"/>
              <w:left w:val="single" w:color="000000" w:sz="4" w:space="0"/>
              <w:bottom w:val="single" w:color="000000" w:sz="4" w:space="0"/>
              <w:right w:val="single" w:color="000000" w:sz="4" w:space="0"/>
            </w:tcBorders>
            <w:vAlign w:val="center"/>
          </w:tcPr>
          <w:p w14:paraId="1AE563BC">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73DFCB94">
            <w:pPr>
              <w:autoSpaceDE w:val="0"/>
              <w:autoSpaceDN w:val="0"/>
              <w:adjustRightInd w:val="0"/>
              <w:jc w:val="center"/>
              <w:rPr>
                <w:rFonts w:ascii="Times New Roman" w:hAnsi="Times New Roman"/>
                <w:kern w:val="0"/>
                <w:sz w:val="20"/>
                <w:szCs w:val="20"/>
              </w:rPr>
            </w:pPr>
          </w:p>
        </w:tc>
      </w:tr>
      <w:tr w14:paraId="753325A6">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5ED0C2D8">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15</w:t>
            </w:r>
          </w:p>
        </w:tc>
        <w:tc>
          <w:tcPr>
            <w:tcW w:w="1551" w:type="dxa"/>
            <w:vMerge w:val="continue"/>
            <w:tcBorders>
              <w:left w:val="single" w:color="auto" w:sz="4" w:space="0"/>
              <w:right w:val="single" w:color="auto" w:sz="4" w:space="0"/>
            </w:tcBorders>
            <w:vAlign w:val="center"/>
          </w:tcPr>
          <w:p w14:paraId="6D026178">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072363B6">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w:t>
            </w:r>
            <w:r>
              <w:rPr>
                <w:rFonts w:hint="eastAsia" w:ascii="Times New Roman" w:hAnsi="Times New Roman"/>
                <w:kern w:val="0"/>
                <w:sz w:val="20"/>
                <w:szCs w:val="20"/>
              </w:rPr>
              <w:t>人员伤亡</w:t>
            </w:r>
            <w:r>
              <w:rPr>
                <w:rFonts w:ascii="Times New Roman" w:hAnsi="Times New Roman"/>
                <w:kern w:val="0"/>
                <w:sz w:val="20"/>
                <w:szCs w:val="20"/>
              </w:rPr>
              <w:t>风险评价图（1:10 000）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618D18A0">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53257D97">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6CBFB9DC">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1C0DC377">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16</w:t>
            </w:r>
          </w:p>
        </w:tc>
        <w:tc>
          <w:tcPr>
            <w:tcW w:w="1551" w:type="dxa"/>
            <w:vMerge w:val="continue"/>
            <w:tcBorders>
              <w:left w:val="single" w:color="auto" w:sz="4" w:space="0"/>
              <w:right w:val="single" w:color="auto" w:sz="4" w:space="0"/>
            </w:tcBorders>
            <w:vAlign w:val="center"/>
          </w:tcPr>
          <w:p w14:paraId="4149FDC0">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1B05FF6E">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w:t>
            </w:r>
            <w:r>
              <w:rPr>
                <w:rFonts w:hint="eastAsia" w:ascii="Times New Roman" w:hAnsi="Times New Roman"/>
                <w:kern w:val="0"/>
                <w:sz w:val="20"/>
                <w:szCs w:val="20"/>
              </w:rPr>
              <w:t>经济损失</w:t>
            </w:r>
            <w:r>
              <w:rPr>
                <w:rFonts w:ascii="Times New Roman" w:hAnsi="Times New Roman"/>
                <w:kern w:val="0"/>
                <w:sz w:val="20"/>
                <w:szCs w:val="20"/>
              </w:rPr>
              <w:t>风险评价图（1:10 000）</w:t>
            </w:r>
          </w:p>
        </w:tc>
        <w:tc>
          <w:tcPr>
            <w:tcW w:w="840" w:type="dxa"/>
            <w:tcBorders>
              <w:top w:val="single" w:color="000000" w:sz="4" w:space="0"/>
              <w:left w:val="single" w:color="000000" w:sz="4" w:space="0"/>
              <w:bottom w:val="single" w:color="000000" w:sz="4" w:space="0"/>
              <w:right w:val="single" w:color="000000" w:sz="4" w:space="0"/>
            </w:tcBorders>
            <w:vAlign w:val="center"/>
          </w:tcPr>
          <w:p w14:paraId="01DC590F">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52DA830">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21A72993">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3C350319">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17</w:t>
            </w:r>
          </w:p>
        </w:tc>
        <w:tc>
          <w:tcPr>
            <w:tcW w:w="1551" w:type="dxa"/>
            <w:vMerge w:val="continue"/>
            <w:tcBorders>
              <w:left w:val="single" w:color="auto" w:sz="4" w:space="0"/>
              <w:right w:val="single" w:color="auto" w:sz="4" w:space="0"/>
            </w:tcBorders>
            <w:vAlign w:val="center"/>
          </w:tcPr>
          <w:p w14:paraId="723A3114">
            <w:pPr>
              <w:widowControl/>
              <w:jc w:val="left"/>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011D8AA7">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地质灾害综合风险评价图（1:2000～1:500）</w:t>
            </w:r>
          </w:p>
        </w:tc>
        <w:tc>
          <w:tcPr>
            <w:tcW w:w="840" w:type="dxa"/>
            <w:tcBorders>
              <w:top w:val="single" w:color="000000" w:sz="4" w:space="0"/>
              <w:left w:val="single" w:color="000000" w:sz="4" w:space="0"/>
              <w:bottom w:val="single" w:color="000000" w:sz="4" w:space="0"/>
              <w:right w:val="single" w:color="000000" w:sz="4" w:space="0"/>
            </w:tcBorders>
            <w:vAlign w:val="center"/>
          </w:tcPr>
          <w:p w14:paraId="0EBD074C">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56F03EB6">
            <w:pPr>
              <w:autoSpaceDE w:val="0"/>
              <w:autoSpaceDN w:val="0"/>
              <w:adjustRightInd w:val="0"/>
              <w:jc w:val="center"/>
              <w:rPr>
                <w:rFonts w:ascii="Times New Roman" w:hAnsi="Times New Roman"/>
                <w:kern w:val="0"/>
                <w:sz w:val="20"/>
                <w:szCs w:val="20"/>
              </w:rPr>
            </w:pPr>
          </w:p>
        </w:tc>
      </w:tr>
      <w:tr w14:paraId="255AB7CC">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7CE0D4E3">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18</w:t>
            </w:r>
          </w:p>
        </w:tc>
        <w:tc>
          <w:tcPr>
            <w:tcW w:w="1551" w:type="dxa"/>
            <w:vMerge w:val="continue"/>
            <w:tcBorders>
              <w:left w:val="single" w:color="auto" w:sz="4" w:space="0"/>
              <w:right w:val="single" w:color="auto" w:sz="4" w:space="0"/>
            </w:tcBorders>
            <w:vAlign w:val="center"/>
          </w:tcPr>
          <w:p w14:paraId="75BD5F3F">
            <w:pPr>
              <w:widowControl/>
              <w:jc w:val="left"/>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5AEC1D46">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钻孔地质柱状图</w:t>
            </w:r>
          </w:p>
        </w:tc>
        <w:tc>
          <w:tcPr>
            <w:tcW w:w="840" w:type="dxa"/>
            <w:tcBorders>
              <w:top w:val="single" w:color="000000" w:sz="4" w:space="0"/>
              <w:left w:val="single" w:color="000000" w:sz="4" w:space="0"/>
              <w:bottom w:val="single" w:color="000000" w:sz="4" w:space="0"/>
              <w:right w:val="single" w:color="000000" w:sz="4" w:space="0"/>
            </w:tcBorders>
            <w:vAlign w:val="center"/>
          </w:tcPr>
          <w:p w14:paraId="04D9B709">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0D04F44C">
            <w:pPr>
              <w:autoSpaceDE w:val="0"/>
              <w:autoSpaceDN w:val="0"/>
              <w:adjustRightInd w:val="0"/>
              <w:jc w:val="center"/>
              <w:rPr>
                <w:rFonts w:ascii="Times New Roman" w:hAnsi="Times New Roman"/>
                <w:kern w:val="0"/>
                <w:sz w:val="20"/>
                <w:szCs w:val="20"/>
              </w:rPr>
            </w:pPr>
          </w:p>
        </w:tc>
      </w:tr>
      <w:tr w14:paraId="2BC89171">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20A1E009">
            <w:pPr>
              <w:autoSpaceDE w:val="0"/>
              <w:autoSpaceDN w:val="0"/>
              <w:adjustRightInd w:val="0"/>
              <w:jc w:val="center"/>
              <w:rPr>
                <w:rFonts w:hint="eastAsia" w:ascii="Times New Roman" w:hAnsi="Times New Roman"/>
                <w:kern w:val="0"/>
                <w:sz w:val="20"/>
                <w:szCs w:val="20"/>
              </w:rPr>
            </w:pPr>
            <w:r>
              <w:rPr>
                <w:rFonts w:hint="eastAsia" w:ascii="Times New Roman" w:hAnsi="Times New Roman"/>
                <w:kern w:val="0"/>
                <w:sz w:val="20"/>
                <w:szCs w:val="20"/>
              </w:rPr>
              <w:t>19</w:t>
            </w:r>
          </w:p>
        </w:tc>
        <w:tc>
          <w:tcPr>
            <w:tcW w:w="1551" w:type="dxa"/>
            <w:vMerge w:val="continue"/>
            <w:tcBorders>
              <w:left w:val="single" w:color="auto" w:sz="4" w:space="0"/>
              <w:right w:val="single" w:color="auto" w:sz="4" w:space="0"/>
            </w:tcBorders>
            <w:vAlign w:val="center"/>
          </w:tcPr>
          <w:p w14:paraId="5206780C">
            <w:pPr>
              <w:widowControl/>
              <w:jc w:val="left"/>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78ACEFA5">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探槽、浅井展示图</w:t>
            </w:r>
          </w:p>
        </w:tc>
        <w:tc>
          <w:tcPr>
            <w:tcW w:w="840" w:type="dxa"/>
            <w:tcBorders>
              <w:top w:val="single" w:color="000000" w:sz="4" w:space="0"/>
              <w:left w:val="single" w:color="000000" w:sz="4" w:space="0"/>
              <w:bottom w:val="single" w:color="000000" w:sz="4" w:space="0"/>
              <w:right w:val="single" w:color="000000" w:sz="4" w:space="0"/>
            </w:tcBorders>
            <w:vAlign w:val="center"/>
          </w:tcPr>
          <w:p w14:paraId="3F6A743C">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5DCC8FCF">
            <w:pPr>
              <w:autoSpaceDE w:val="0"/>
              <w:autoSpaceDN w:val="0"/>
              <w:adjustRightInd w:val="0"/>
              <w:jc w:val="center"/>
              <w:rPr>
                <w:rFonts w:ascii="Times New Roman" w:hAnsi="Times New Roman"/>
                <w:kern w:val="0"/>
                <w:sz w:val="20"/>
                <w:szCs w:val="20"/>
              </w:rPr>
            </w:pPr>
          </w:p>
        </w:tc>
      </w:tr>
      <w:tr w14:paraId="1093EC7F">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4BFD233D">
            <w:pPr>
              <w:autoSpaceDE w:val="0"/>
              <w:autoSpaceDN w:val="0"/>
              <w:adjustRightInd w:val="0"/>
              <w:jc w:val="center"/>
              <w:rPr>
                <w:rFonts w:hint="eastAsia" w:ascii="Times New Roman" w:hAnsi="Times New Roman"/>
                <w:kern w:val="0"/>
                <w:sz w:val="20"/>
                <w:szCs w:val="20"/>
              </w:rPr>
            </w:pPr>
            <w:r>
              <w:rPr>
                <w:rFonts w:ascii="Times New Roman" w:hAnsi="Times New Roman"/>
                <w:kern w:val="0"/>
                <w:sz w:val="20"/>
                <w:szCs w:val="20"/>
              </w:rPr>
              <w:t>20</w:t>
            </w:r>
          </w:p>
        </w:tc>
        <w:tc>
          <w:tcPr>
            <w:tcW w:w="1551" w:type="dxa"/>
            <w:vMerge w:val="continue"/>
            <w:tcBorders>
              <w:left w:val="single" w:color="auto" w:sz="4" w:space="0"/>
              <w:bottom w:val="single" w:color="auto" w:sz="4" w:space="0"/>
              <w:right w:val="single" w:color="auto" w:sz="4" w:space="0"/>
            </w:tcBorders>
            <w:vAlign w:val="center"/>
          </w:tcPr>
          <w:p w14:paraId="5CF0AA99">
            <w:pPr>
              <w:widowControl/>
              <w:jc w:val="left"/>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043684F4">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岩土、水试验成果汇总表或报告</w:t>
            </w:r>
          </w:p>
        </w:tc>
        <w:tc>
          <w:tcPr>
            <w:tcW w:w="840" w:type="dxa"/>
            <w:tcBorders>
              <w:top w:val="single" w:color="000000" w:sz="4" w:space="0"/>
              <w:left w:val="single" w:color="000000" w:sz="4" w:space="0"/>
              <w:bottom w:val="single" w:color="000000" w:sz="4" w:space="0"/>
              <w:right w:val="single" w:color="000000" w:sz="4" w:space="0"/>
            </w:tcBorders>
            <w:vAlign w:val="center"/>
          </w:tcPr>
          <w:p w14:paraId="0E36E18B">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6442426C">
            <w:pPr>
              <w:autoSpaceDE w:val="0"/>
              <w:autoSpaceDN w:val="0"/>
              <w:adjustRightInd w:val="0"/>
              <w:jc w:val="center"/>
              <w:rPr>
                <w:rFonts w:ascii="Times New Roman" w:hAnsi="Times New Roman"/>
                <w:kern w:val="0"/>
                <w:sz w:val="20"/>
                <w:szCs w:val="20"/>
              </w:rPr>
            </w:pPr>
          </w:p>
        </w:tc>
      </w:tr>
      <w:tr w14:paraId="032DD922">
        <w:tblPrEx>
          <w:tblCellMar>
            <w:top w:w="0" w:type="dxa"/>
            <w:left w:w="0" w:type="dxa"/>
            <w:bottom w:w="0" w:type="dxa"/>
            <w:right w:w="0" w:type="dxa"/>
          </w:tblCellMar>
        </w:tblPrEx>
        <w:trPr>
          <w:trHeight w:val="267"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739B5AA2">
            <w:pPr>
              <w:autoSpaceDE w:val="0"/>
              <w:autoSpaceDN w:val="0"/>
              <w:adjustRightInd w:val="0"/>
              <w:jc w:val="center"/>
              <w:rPr>
                <w:rFonts w:hint="eastAsia" w:ascii="Times New Roman" w:hAnsi="Times New Roman"/>
                <w:kern w:val="0"/>
                <w:sz w:val="20"/>
                <w:szCs w:val="20"/>
              </w:rPr>
            </w:pPr>
            <w:r>
              <w:rPr>
                <w:rFonts w:ascii="Times New Roman" w:hAnsi="Times New Roman"/>
                <w:kern w:val="0"/>
                <w:sz w:val="20"/>
                <w:szCs w:val="20"/>
              </w:rPr>
              <w:t>21</w:t>
            </w:r>
          </w:p>
        </w:tc>
        <w:tc>
          <w:tcPr>
            <w:tcW w:w="1551" w:type="dxa"/>
            <w:vMerge w:val="restart"/>
            <w:tcBorders>
              <w:left w:val="single" w:color="auto" w:sz="4" w:space="0"/>
              <w:right w:val="single" w:color="auto" w:sz="4" w:space="0"/>
            </w:tcBorders>
            <w:vAlign w:val="center"/>
          </w:tcPr>
          <w:p w14:paraId="4A499530">
            <w:pPr>
              <w:jc w:val="center"/>
              <w:rPr>
                <w:rFonts w:ascii="Times New Roman" w:hAnsi="Times New Roman"/>
                <w:kern w:val="0"/>
                <w:sz w:val="20"/>
                <w:szCs w:val="20"/>
              </w:rPr>
            </w:pPr>
            <w:r>
              <w:rPr>
                <w:rFonts w:ascii="Times New Roman" w:hAnsi="Times New Roman"/>
                <w:kern w:val="0"/>
                <w:sz w:val="20"/>
                <w:szCs w:val="20"/>
              </w:rPr>
              <w:t>其他</w:t>
            </w:r>
          </w:p>
        </w:tc>
        <w:tc>
          <w:tcPr>
            <w:tcW w:w="4980" w:type="dxa"/>
            <w:tcBorders>
              <w:top w:val="single" w:color="000000" w:sz="4" w:space="0"/>
              <w:left w:val="single" w:color="auto" w:sz="4" w:space="0"/>
              <w:bottom w:val="single" w:color="000000" w:sz="4" w:space="0"/>
              <w:right w:val="single" w:color="000000" w:sz="4" w:space="0"/>
            </w:tcBorders>
            <w:vAlign w:val="center"/>
          </w:tcPr>
          <w:p w14:paraId="48EE9520">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地质灾害隐患点风险评价情况一览表</w:t>
            </w:r>
          </w:p>
        </w:tc>
        <w:tc>
          <w:tcPr>
            <w:tcW w:w="840" w:type="dxa"/>
            <w:tcBorders>
              <w:top w:val="single" w:color="000000" w:sz="4" w:space="0"/>
              <w:left w:val="single" w:color="000000" w:sz="4" w:space="0"/>
              <w:bottom w:val="single" w:color="000000" w:sz="4" w:space="0"/>
              <w:right w:val="single" w:color="000000" w:sz="4" w:space="0"/>
            </w:tcBorders>
            <w:vAlign w:val="center"/>
          </w:tcPr>
          <w:p w14:paraId="3852D6B6">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788149D8">
            <w:pPr>
              <w:autoSpaceDE w:val="0"/>
              <w:autoSpaceDN w:val="0"/>
              <w:adjustRightInd w:val="0"/>
              <w:jc w:val="center"/>
              <w:rPr>
                <w:rFonts w:ascii="Times New Roman" w:hAnsi="Times New Roman"/>
                <w:kern w:val="0"/>
                <w:sz w:val="20"/>
                <w:szCs w:val="20"/>
              </w:rPr>
            </w:pPr>
          </w:p>
        </w:tc>
      </w:tr>
      <w:tr w14:paraId="38A30FB2">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3A127D5B">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22</w:t>
            </w:r>
          </w:p>
        </w:tc>
        <w:tc>
          <w:tcPr>
            <w:tcW w:w="1551" w:type="dxa"/>
            <w:vMerge w:val="continue"/>
            <w:tcBorders>
              <w:left w:val="single" w:color="auto" w:sz="4" w:space="0"/>
              <w:right w:val="single" w:color="auto" w:sz="4" w:space="0"/>
            </w:tcBorders>
            <w:vAlign w:val="center"/>
          </w:tcPr>
          <w:p w14:paraId="6C8F4C34">
            <w:pPr>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6AEA781E">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地质灾害风险调查评价数据库及建库报告</w:t>
            </w:r>
          </w:p>
        </w:tc>
        <w:tc>
          <w:tcPr>
            <w:tcW w:w="840" w:type="dxa"/>
            <w:tcBorders>
              <w:top w:val="single" w:color="000000" w:sz="4" w:space="0"/>
              <w:left w:val="single" w:color="000000" w:sz="4" w:space="0"/>
              <w:bottom w:val="single" w:color="000000" w:sz="4" w:space="0"/>
              <w:right w:val="single" w:color="000000" w:sz="4" w:space="0"/>
            </w:tcBorders>
            <w:vAlign w:val="center"/>
          </w:tcPr>
          <w:p w14:paraId="3D729765">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052FD118">
            <w:pPr>
              <w:autoSpaceDE w:val="0"/>
              <w:autoSpaceDN w:val="0"/>
              <w:adjustRightInd w:val="0"/>
              <w:jc w:val="center"/>
              <w:rPr>
                <w:rFonts w:ascii="Times New Roman" w:hAnsi="Times New Roman"/>
                <w:kern w:val="0"/>
                <w:sz w:val="20"/>
                <w:szCs w:val="20"/>
              </w:rPr>
            </w:pPr>
          </w:p>
        </w:tc>
      </w:tr>
      <w:tr w14:paraId="16801F29">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4CDDF5D5">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23</w:t>
            </w:r>
          </w:p>
        </w:tc>
        <w:tc>
          <w:tcPr>
            <w:tcW w:w="1551" w:type="dxa"/>
            <w:vMerge w:val="continue"/>
            <w:tcBorders>
              <w:left w:val="single" w:color="auto" w:sz="4" w:space="0"/>
              <w:right w:val="single" w:color="auto" w:sz="4" w:space="0"/>
            </w:tcBorders>
            <w:vAlign w:val="center"/>
          </w:tcPr>
          <w:p w14:paraId="28EA449D">
            <w:pPr>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50444240">
            <w:pPr>
              <w:autoSpaceDE w:val="0"/>
              <w:autoSpaceDN w:val="0"/>
              <w:adjustRightInd w:val="0"/>
              <w:spacing w:line="227" w:lineRule="exact"/>
              <w:jc w:val="left"/>
              <w:rPr>
                <w:rFonts w:ascii="Times New Roman" w:hAnsi="Times New Roman"/>
                <w:kern w:val="0"/>
                <w:sz w:val="20"/>
                <w:szCs w:val="20"/>
              </w:rPr>
            </w:pPr>
            <w:r>
              <w:rPr>
                <w:rFonts w:ascii="Times New Roman" w:hAnsi="Times New Roman"/>
                <w:kern w:val="0"/>
                <w:sz w:val="20"/>
                <w:szCs w:val="20"/>
              </w:rPr>
              <w:t>城镇（乡镇）地质灾害风险管控图册</w:t>
            </w:r>
          </w:p>
        </w:tc>
        <w:tc>
          <w:tcPr>
            <w:tcW w:w="840" w:type="dxa"/>
            <w:tcBorders>
              <w:top w:val="single" w:color="000000" w:sz="4" w:space="0"/>
              <w:left w:val="single" w:color="000000" w:sz="4" w:space="0"/>
              <w:bottom w:val="single" w:color="000000" w:sz="4" w:space="0"/>
              <w:right w:val="single" w:color="000000" w:sz="4" w:space="0"/>
            </w:tcBorders>
            <w:vAlign w:val="center"/>
          </w:tcPr>
          <w:p w14:paraId="00C0E809">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10D9441C">
            <w:pPr>
              <w:autoSpaceDE w:val="0"/>
              <w:autoSpaceDN w:val="0"/>
              <w:adjustRightInd w:val="0"/>
              <w:jc w:val="center"/>
              <w:rPr>
                <w:rFonts w:ascii="Times New Roman" w:hAnsi="Times New Roman"/>
                <w:kern w:val="0"/>
                <w:sz w:val="20"/>
                <w:szCs w:val="20"/>
              </w:rPr>
            </w:pPr>
          </w:p>
        </w:tc>
      </w:tr>
      <w:tr w14:paraId="2269FE01">
        <w:tblPrEx>
          <w:tblCellMar>
            <w:top w:w="0" w:type="dxa"/>
            <w:left w:w="0" w:type="dxa"/>
            <w:bottom w:w="0" w:type="dxa"/>
            <w:right w:w="0" w:type="dxa"/>
          </w:tblCellMar>
        </w:tblPrEx>
        <w:trPr>
          <w:trHeight w:val="329"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6BA5CE77">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24</w:t>
            </w:r>
          </w:p>
        </w:tc>
        <w:tc>
          <w:tcPr>
            <w:tcW w:w="1551" w:type="dxa"/>
            <w:vMerge w:val="continue"/>
            <w:tcBorders>
              <w:left w:val="single" w:color="auto" w:sz="4" w:space="0"/>
              <w:right w:val="single" w:color="auto" w:sz="4" w:space="0"/>
            </w:tcBorders>
            <w:vAlign w:val="center"/>
          </w:tcPr>
          <w:p w14:paraId="62879C2C">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7075D716">
            <w:pPr>
              <w:autoSpaceDE w:val="0"/>
              <w:autoSpaceDN w:val="0"/>
              <w:adjustRightInd w:val="0"/>
              <w:spacing w:line="228" w:lineRule="exact"/>
              <w:jc w:val="left"/>
              <w:rPr>
                <w:rFonts w:ascii="Times New Roman" w:hAnsi="Times New Roman"/>
                <w:kern w:val="0"/>
                <w:sz w:val="20"/>
                <w:szCs w:val="20"/>
              </w:rPr>
            </w:pPr>
            <w:r>
              <w:rPr>
                <w:rFonts w:ascii="Times New Roman" w:hAnsi="Times New Roman"/>
                <w:kern w:val="0"/>
                <w:sz w:val="20"/>
                <w:szCs w:val="20"/>
              </w:rPr>
              <w:t>地质灾害风险调查照片集</w:t>
            </w:r>
          </w:p>
        </w:tc>
        <w:tc>
          <w:tcPr>
            <w:tcW w:w="840" w:type="dxa"/>
            <w:tcBorders>
              <w:top w:val="single" w:color="000000" w:sz="4" w:space="0"/>
              <w:left w:val="single" w:color="000000" w:sz="4" w:space="0"/>
              <w:bottom w:val="single" w:color="000000" w:sz="4" w:space="0"/>
              <w:right w:val="single" w:color="000000" w:sz="4" w:space="0"/>
            </w:tcBorders>
            <w:vAlign w:val="center"/>
          </w:tcPr>
          <w:p w14:paraId="5F477FAF">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01E012D4">
            <w:pPr>
              <w:autoSpaceDE w:val="0"/>
              <w:autoSpaceDN w:val="0"/>
              <w:adjustRightInd w:val="0"/>
              <w:jc w:val="center"/>
              <w:rPr>
                <w:rFonts w:ascii="Times New Roman" w:hAnsi="Times New Roman"/>
                <w:kern w:val="0"/>
                <w:sz w:val="20"/>
                <w:szCs w:val="20"/>
              </w:rPr>
            </w:pPr>
          </w:p>
        </w:tc>
      </w:tr>
      <w:tr w14:paraId="38AF846D">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27EE6E1F">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25</w:t>
            </w:r>
          </w:p>
        </w:tc>
        <w:tc>
          <w:tcPr>
            <w:tcW w:w="1551" w:type="dxa"/>
            <w:vMerge w:val="continue"/>
            <w:tcBorders>
              <w:left w:val="single" w:color="auto" w:sz="4" w:space="0"/>
              <w:right w:val="single" w:color="auto" w:sz="4" w:space="0"/>
            </w:tcBorders>
            <w:vAlign w:val="center"/>
          </w:tcPr>
          <w:p w14:paraId="1882C341">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28753A19">
            <w:pPr>
              <w:autoSpaceDE w:val="0"/>
              <w:autoSpaceDN w:val="0"/>
              <w:adjustRightInd w:val="0"/>
              <w:spacing w:line="228" w:lineRule="exact"/>
              <w:jc w:val="left"/>
              <w:rPr>
                <w:rFonts w:ascii="Times New Roman" w:hAnsi="Times New Roman"/>
                <w:kern w:val="0"/>
                <w:sz w:val="20"/>
                <w:szCs w:val="20"/>
              </w:rPr>
            </w:pPr>
            <w:r>
              <w:rPr>
                <w:rFonts w:ascii="Times New Roman" w:hAnsi="Times New Roman"/>
                <w:kern w:val="0"/>
                <w:sz w:val="20"/>
                <w:szCs w:val="20"/>
              </w:rPr>
              <w:t>物探报告及图件</w:t>
            </w:r>
          </w:p>
        </w:tc>
        <w:tc>
          <w:tcPr>
            <w:tcW w:w="840" w:type="dxa"/>
            <w:tcBorders>
              <w:top w:val="single" w:color="000000" w:sz="4" w:space="0"/>
              <w:left w:val="single" w:color="000000" w:sz="4" w:space="0"/>
              <w:bottom w:val="single" w:color="000000" w:sz="4" w:space="0"/>
              <w:right w:val="single" w:color="000000" w:sz="4" w:space="0"/>
            </w:tcBorders>
            <w:vAlign w:val="center"/>
          </w:tcPr>
          <w:p w14:paraId="50FA6ECC">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927597D">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3FCE6A19">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4FD0F79F">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26</w:t>
            </w:r>
          </w:p>
        </w:tc>
        <w:tc>
          <w:tcPr>
            <w:tcW w:w="1551" w:type="dxa"/>
            <w:vMerge w:val="continue"/>
            <w:tcBorders>
              <w:left w:val="single" w:color="auto" w:sz="4" w:space="0"/>
              <w:right w:val="single" w:color="auto" w:sz="4" w:space="0"/>
            </w:tcBorders>
            <w:vAlign w:val="center"/>
          </w:tcPr>
          <w:p w14:paraId="58C5AC27">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68D45507">
            <w:pPr>
              <w:autoSpaceDE w:val="0"/>
              <w:autoSpaceDN w:val="0"/>
              <w:adjustRightInd w:val="0"/>
              <w:spacing w:line="228" w:lineRule="exact"/>
              <w:jc w:val="left"/>
              <w:rPr>
                <w:rFonts w:ascii="Times New Roman" w:hAnsi="Times New Roman"/>
                <w:kern w:val="0"/>
                <w:sz w:val="20"/>
                <w:szCs w:val="20"/>
              </w:rPr>
            </w:pPr>
            <w:r>
              <w:rPr>
                <w:rFonts w:ascii="Times New Roman" w:hAnsi="Times New Roman"/>
                <w:kern w:val="0"/>
                <w:sz w:val="20"/>
                <w:szCs w:val="20"/>
              </w:rPr>
              <w:t>遥感解译点信息表及报告</w:t>
            </w:r>
          </w:p>
        </w:tc>
        <w:tc>
          <w:tcPr>
            <w:tcW w:w="840" w:type="dxa"/>
            <w:tcBorders>
              <w:top w:val="single" w:color="000000" w:sz="4" w:space="0"/>
              <w:left w:val="single" w:color="000000" w:sz="4" w:space="0"/>
              <w:bottom w:val="single" w:color="000000" w:sz="4" w:space="0"/>
              <w:right w:val="single" w:color="000000" w:sz="4" w:space="0"/>
            </w:tcBorders>
            <w:vAlign w:val="center"/>
          </w:tcPr>
          <w:p w14:paraId="3A253FA3">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c>
          <w:tcPr>
            <w:tcW w:w="849" w:type="dxa"/>
            <w:tcBorders>
              <w:top w:val="single" w:color="000000" w:sz="4" w:space="0"/>
              <w:left w:val="single" w:color="000000" w:sz="4" w:space="0"/>
              <w:bottom w:val="single" w:color="000000" w:sz="4" w:space="0"/>
              <w:right w:val="single" w:color="000000" w:sz="4" w:space="0"/>
            </w:tcBorders>
            <w:vAlign w:val="center"/>
          </w:tcPr>
          <w:p w14:paraId="7B592372">
            <w:pPr>
              <w:autoSpaceDE w:val="0"/>
              <w:autoSpaceDN w:val="0"/>
              <w:adjustRightInd w:val="0"/>
              <w:jc w:val="center"/>
              <w:rPr>
                <w:rFonts w:ascii="Times New Roman" w:hAnsi="Times New Roman"/>
                <w:kern w:val="0"/>
                <w:sz w:val="20"/>
                <w:szCs w:val="20"/>
              </w:rPr>
            </w:pPr>
          </w:p>
        </w:tc>
      </w:tr>
      <w:tr w14:paraId="2FA0C9DB">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35541DEE">
            <w:pPr>
              <w:autoSpaceDE w:val="0"/>
              <w:autoSpaceDN w:val="0"/>
              <w:adjustRightInd w:val="0"/>
              <w:jc w:val="center"/>
              <w:rPr>
                <w:rFonts w:ascii="Times New Roman" w:hAnsi="Times New Roman"/>
                <w:kern w:val="0"/>
                <w:sz w:val="20"/>
                <w:szCs w:val="20"/>
              </w:rPr>
            </w:pPr>
            <w:r>
              <w:rPr>
                <w:rFonts w:hint="eastAsia" w:ascii="Times New Roman" w:hAnsi="Times New Roman"/>
                <w:kern w:val="0"/>
                <w:sz w:val="20"/>
                <w:szCs w:val="20"/>
              </w:rPr>
              <w:t>2</w:t>
            </w:r>
            <w:r>
              <w:rPr>
                <w:rFonts w:ascii="Times New Roman" w:hAnsi="Times New Roman"/>
                <w:kern w:val="0"/>
                <w:sz w:val="20"/>
                <w:szCs w:val="20"/>
              </w:rPr>
              <w:t>7</w:t>
            </w:r>
          </w:p>
        </w:tc>
        <w:tc>
          <w:tcPr>
            <w:tcW w:w="1551" w:type="dxa"/>
            <w:vMerge w:val="continue"/>
            <w:tcBorders>
              <w:left w:val="single" w:color="auto" w:sz="4" w:space="0"/>
              <w:right w:val="single" w:color="auto" w:sz="4" w:space="0"/>
            </w:tcBorders>
            <w:vAlign w:val="center"/>
          </w:tcPr>
          <w:p w14:paraId="60742C97">
            <w:pPr>
              <w:widowControl/>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0450D93D">
            <w:pPr>
              <w:autoSpaceDE w:val="0"/>
              <w:autoSpaceDN w:val="0"/>
              <w:adjustRightInd w:val="0"/>
              <w:spacing w:line="228" w:lineRule="exact"/>
              <w:jc w:val="left"/>
              <w:rPr>
                <w:rFonts w:ascii="Times New Roman" w:hAnsi="Times New Roman"/>
                <w:kern w:val="0"/>
                <w:sz w:val="20"/>
                <w:szCs w:val="20"/>
              </w:rPr>
            </w:pPr>
            <w:r>
              <w:rPr>
                <w:rFonts w:ascii="Times New Roman" w:hAnsi="Times New Roman"/>
                <w:kern w:val="0"/>
                <w:sz w:val="20"/>
                <w:szCs w:val="20"/>
              </w:rPr>
              <w:t>无人机三维倾斜测量报告</w:t>
            </w:r>
          </w:p>
        </w:tc>
        <w:tc>
          <w:tcPr>
            <w:tcW w:w="840" w:type="dxa"/>
            <w:tcBorders>
              <w:top w:val="single" w:color="000000" w:sz="4" w:space="0"/>
              <w:left w:val="single" w:color="000000" w:sz="4" w:space="0"/>
              <w:bottom w:val="single" w:color="000000" w:sz="4" w:space="0"/>
              <w:right w:val="single" w:color="000000" w:sz="4" w:space="0"/>
            </w:tcBorders>
            <w:vAlign w:val="center"/>
          </w:tcPr>
          <w:p w14:paraId="6C6606B3">
            <w:pPr>
              <w:autoSpaceDE w:val="0"/>
              <w:autoSpaceDN w:val="0"/>
              <w:adjustRightInd w:val="0"/>
              <w:jc w:val="center"/>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E878521">
            <w:pPr>
              <w:autoSpaceDE w:val="0"/>
              <w:autoSpaceDN w:val="0"/>
              <w:adjustRightInd w:val="0"/>
              <w:jc w:val="center"/>
              <w:rPr>
                <w:rFonts w:ascii="Times New Roman" w:hAnsi="Times New Roman"/>
                <w:kern w:val="0"/>
                <w:sz w:val="20"/>
                <w:szCs w:val="20"/>
              </w:rPr>
            </w:pPr>
            <w:r>
              <w:rPr>
                <w:rFonts w:ascii="Times New Roman" w:hAnsi="Times New Roman"/>
                <w:kern w:val="0"/>
                <w:sz w:val="20"/>
                <w:szCs w:val="20"/>
              </w:rPr>
              <w:t>√</w:t>
            </w:r>
          </w:p>
        </w:tc>
      </w:tr>
      <w:tr w14:paraId="760CDAAE">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5A3DFA11">
            <w:pPr>
              <w:autoSpaceDE w:val="0"/>
              <w:autoSpaceDN w:val="0"/>
              <w:adjustRightInd w:val="0"/>
              <w:spacing w:line="228" w:lineRule="exact"/>
              <w:jc w:val="center"/>
              <w:rPr>
                <w:rFonts w:ascii="Times New Roman" w:hAnsi="Times New Roman"/>
                <w:kern w:val="0"/>
                <w:sz w:val="20"/>
                <w:szCs w:val="20"/>
              </w:rPr>
            </w:pPr>
            <w:r>
              <w:rPr>
                <w:rFonts w:hint="eastAsia" w:ascii="Times New Roman" w:hAnsi="Times New Roman"/>
                <w:kern w:val="0"/>
                <w:sz w:val="20"/>
                <w:szCs w:val="20"/>
              </w:rPr>
              <w:t>2</w:t>
            </w:r>
            <w:r>
              <w:rPr>
                <w:rFonts w:ascii="Times New Roman" w:hAnsi="Times New Roman"/>
                <w:kern w:val="0"/>
                <w:sz w:val="20"/>
                <w:szCs w:val="20"/>
              </w:rPr>
              <w:t>8</w:t>
            </w:r>
          </w:p>
        </w:tc>
        <w:tc>
          <w:tcPr>
            <w:tcW w:w="1551" w:type="dxa"/>
            <w:vMerge w:val="continue"/>
            <w:tcBorders>
              <w:left w:val="single" w:color="auto" w:sz="4" w:space="0"/>
              <w:right w:val="single" w:color="auto" w:sz="4" w:space="0"/>
            </w:tcBorders>
            <w:vAlign w:val="center"/>
          </w:tcPr>
          <w:p w14:paraId="74349638">
            <w:pPr>
              <w:widowControl/>
              <w:spacing w:line="228" w:lineRule="exact"/>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3BDFE1C4">
            <w:pPr>
              <w:autoSpaceDE w:val="0"/>
              <w:autoSpaceDN w:val="0"/>
              <w:adjustRightInd w:val="0"/>
              <w:spacing w:line="228" w:lineRule="exact"/>
              <w:jc w:val="left"/>
              <w:rPr>
                <w:rFonts w:ascii="Times New Roman" w:hAnsi="Times New Roman"/>
                <w:kern w:val="0"/>
                <w:sz w:val="20"/>
                <w:szCs w:val="20"/>
              </w:rPr>
            </w:pPr>
            <w:r>
              <w:rPr>
                <w:rFonts w:ascii="Times New Roman" w:hAnsi="Times New Roman"/>
                <w:kern w:val="0"/>
                <w:sz w:val="20"/>
                <w:szCs w:val="20"/>
              </w:rPr>
              <w:t>勘查报告</w:t>
            </w:r>
          </w:p>
        </w:tc>
        <w:tc>
          <w:tcPr>
            <w:tcW w:w="840" w:type="dxa"/>
            <w:tcBorders>
              <w:top w:val="single" w:color="000000" w:sz="4" w:space="0"/>
              <w:left w:val="single" w:color="000000" w:sz="4" w:space="0"/>
              <w:bottom w:val="single" w:color="000000" w:sz="4" w:space="0"/>
              <w:right w:val="single" w:color="000000" w:sz="4" w:space="0"/>
            </w:tcBorders>
            <w:vAlign w:val="center"/>
          </w:tcPr>
          <w:p w14:paraId="57517AF8">
            <w:pPr>
              <w:autoSpaceDE w:val="0"/>
              <w:autoSpaceDN w:val="0"/>
              <w:adjustRightInd w:val="0"/>
              <w:spacing w:line="228" w:lineRule="exact"/>
              <w:jc w:val="left"/>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CE7817F">
            <w:pPr>
              <w:autoSpaceDE w:val="0"/>
              <w:autoSpaceDN w:val="0"/>
              <w:adjustRightInd w:val="0"/>
              <w:spacing w:line="228" w:lineRule="exact"/>
              <w:jc w:val="center"/>
              <w:rPr>
                <w:rFonts w:ascii="Times New Roman" w:hAnsi="Times New Roman"/>
                <w:kern w:val="0"/>
                <w:sz w:val="20"/>
                <w:szCs w:val="20"/>
              </w:rPr>
            </w:pPr>
            <w:r>
              <w:rPr>
                <w:rFonts w:ascii="Times New Roman" w:hAnsi="Times New Roman"/>
                <w:kern w:val="0"/>
                <w:sz w:val="20"/>
                <w:szCs w:val="20"/>
              </w:rPr>
              <w:t>√</w:t>
            </w:r>
          </w:p>
        </w:tc>
      </w:tr>
      <w:tr w14:paraId="383ED662">
        <w:tblPrEx>
          <w:tblCellMar>
            <w:top w:w="0" w:type="dxa"/>
            <w:left w:w="0" w:type="dxa"/>
            <w:bottom w:w="0" w:type="dxa"/>
            <w:right w:w="0" w:type="dxa"/>
          </w:tblCellMar>
        </w:tblPrEx>
        <w:trPr>
          <w:trHeight w:val="284" w:hRule="exact"/>
          <w:jc w:val="center"/>
        </w:trPr>
        <w:tc>
          <w:tcPr>
            <w:tcW w:w="484" w:type="dxa"/>
            <w:tcBorders>
              <w:top w:val="single" w:color="000000" w:sz="4" w:space="0"/>
              <w:left w:val="single" w:color="000000" w:sz="4" w:space="0"/>
              <w:bottom w:val="single" w:color="000000" w:sz="4" w:space="0"/>
              <w:right w:val="single" w:color="auto" w:sz="4" w:space="0"/>
            </w:tcBorders>
            <w:vAlign w:val="center"/>
          </w:tcPr>
          <w:p w14:paraId="1B020DE1">
            <w:pPr>
              <w:autoSpaceDE w:val="0"/>
              <w:autoSpaceDN w:val="0"/>
              <w:adjustRightInd w:val="0"/>
              <w:spacing w:line="228" w:lineRule="exact"/>
              <w:jc w:val="center"/>
              <w:rPr>
                <w:rFonts w:hint="eastAsia" w:ascii="Times New Roman" w:hAnsi="Times New Roman"/>
                <w:kern w:val="0"/>
                <w:sz w:val="20"/>
                <w:szCs w:val="20"/>
              </w:rPr>
            </w:pPr>
            <w:r>
              <w:rPr>
                <w:rFonts w:hint="eastAsia" w:ascii="Times New Roman" w:hAnsi="Times New Roman"/>
                <w:kern w:val="0"/>
                <w:sz w:val="20"/>
                <w:szCs w:val="20"/>
              </w:rPr>
              <w:t>2</w:t>
            </w:r>
            <w:r>
              <w:rPr>
                <w:rFonts w:ascii="Times New Roman" w:hAnsi="Times New Roman"/>
                <w:kern w:val="0"/>
                <w:sz w:val="20"/>
                <w:szCs w:val="20"/>
              </w:rPr>
              <w:t>9</w:t>
            </w:r>
          </w:p>
        </w:tc>
        <w:tc>
          <w:tcPr>
            <w:tcW w:w="1551" w:type="dxa"/>
            <w:tcBorders>
              <w:left w:val="single" w:color="auto" w:sz="4" w:space="0"/>
              <w:bottom w:val="single" w:color="000000" w:sz="4" w:space="0"/>
              <w:right w:val="single" w:color="auto" w:sz="4" w:space="0"/>
            </w:tcBorders>
            <w:vAlign w:val="center"/>
          </w:tcPr>
          <w:p w14:paraId="0DE48F69">
            <w:pPr>
              <w:widowControl/>
              <w:spacing w:line="228" w:lineRule="exact"/>
              <w:jc w:val="center"/>
              <w:rPr>
                <w:rFonts w:ascii="Times New Roman" w:hAnsi="Times New Roman"/>
                <w:kern w:val="0"/>
                <w:sz w:val="20"/>
                <w:szCs w:val="20"/>
              </w:rPr>
            </w:pPr>
          </w:p>
        </w:tc>
        <w:tc>
          <w:tcPr>
            <w:tcW w:w="4980" w:type="dxa"/>
            <w:tcBorders>
              <w:top w:val="single" w:color="000000" w:sz="4" w:space="0"/>
              <w:left w:val="single" w:color="auto" w:sz="4" w:space="0"/>
              <w:bottom w:val="single" w:color="000000" w:sz="4" w:space="0"/>
              <w:right w:val="single" w:color="000000" w:sz="4" w:space="0"/>
            </w:tcBorders>
            <w:vAlign w:val="center"/>
          </w:tcPr>
          <w:p w14:paraId="7BA5351C">
            <w:pPr>
              <w:autoSpaceDE w:val="0"/>
              <w:autoSpaceDN w:val="0"/>
              <w:adjustRightInd w:val="0"/>
              <w:spacing w:line="228" w:lineRule="exact"/>
              <w:jc w:val="left"/>
              <w:rPr>
                <w:rFonts w:ascii="Times New Roman" w:hAnsi="Times New Roman"/>
                <w:kern w:val="0"/>
                <w:sz w:val="20"/>
                <w:szCs w:val="20"/>
              </w:rPr>
            </w:pPr>
            <w:r>
              <w:rPr>
                <w:rFonts w:hint="eastAsia" w:ascii="Times New Roman" w:hAnsi="Times New Roman"/>
                <w:kern w:val="0"/>
                <w:sz w:val="20"/>
                <w:szCs w:val="20"/>
              </w:rPr>
              <w:t>测量报告</w:t>
            </w:r>
          </w:p>
        </w:tc>
        <w:tc>
          <w:tcPr>
            <w:tcW w:w="840" w:type="dxa"/>
            <w:tcBorders>
              <w:top w:val="single" w:color="000000" w:sz="4" w:space="0"/>
              <w:left w:val="single" w:color="000000" w:sz="4" w:space="0"/>
              <w:bottom w:val="single" w:color="000000" w:sz="4" w:space="0"/>
              <w:right w:val="single" w:color="000000" w:sz="4" w:space="0"/>
            </w:tcBorders>
            <w:vAlign w:val="center"/>
          </w:tcPr>
          <w:p w14:paraId="212849F9">
            <w:pPr>
              <w:autoSpaceDE w:val="0"/>
              <w:autoSpaceDN w:val="0"/>
              <w:adjustRightInd w:val="0"/>
              <w:spacing w:line="228" w:lineRule="exact"/>
              <w:jc w:val="left"/>
              <w:rPr>
                <w:rFonts w:ascii="Times New Roman" w:hAnsi="Times New Roman"/>
                <w:kern w:val="0"/>
                <w:sz w:val="20"/>
                <w:szCs w:val="20"/>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D6C250F">
            <w:pPr>
              <w:autoSpaceDE w:val="0"/>
              <w:autoSpaceDN w:val="0"/>
              <w:adjustRightInd w:val="0"/>
              <w:spacing w:line="228" w:lineRule="exact"/>
              <w:jc w:val="center"/>
              <w:rPr>
                <w:rFonts w:ascii="Times New Roman" w:hAnsi="Times New Roman"/>
                <w:kern w:val="0"/>
                <w:sz w:val="20"/>
                <w:szCs w:val="20"/>
              </w:rPr>
            </w:pPr>
            <w:r>
              <w:rPr>
                <w:rFonts w:ascii="Times New Roman" w:hAnsi="Times New Roman"/>
                <w:kern w:val="0"/>
                <w:sz w:val="20"/>
                <w:szCs w:val="20"/>
              </w:rPr>
              <w:t>√</w:t>
            </w:r>
          </w:p>
        </w:tc>
      </w:tr>
    </w:tbl>
    <w:p w14:paraId="037943BD">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6、履约验收标准：</w:t>
      </w:r>
      <w:r>
        <w:rPr>
          <w:rFonts w:hint="eastAsia" w:ascii="仿宋" w:hAnsi="仿宋" w:eastAsia="仿宋" w:cs="仿宋"/>
          <w:sz w:val="32"/>
          <w:szCs w:val="32"/>
          <w:lang w:val="en-US" w:eastAsia="zh-CN"/>
        </w:rPr>
        <w:t>合同清单内</w:t>
      </w:r>
      <w:r>
        <w:rPr>
          <w:rFonts w:hint="eastAsia" w:ascii="仿宋" w:hAnsi="仿宋" w:eastAsia="仿宋" w:cs="仿宋"/>
          <w:sz w:val="32"/>
          <w:szCs w:val="32"/>
        </w:rPr>
        <w:t>与设计方案相符，完成了设计的工作量，野外工程质量符合相关技术要求</w:t>
      </w:r>
      <w:r>
        <w:rPr>
          <w:rFonts w:hint="eastAsia" w:ascii="仿宋" w:hAnsi="仿宋" w:eastAsia="仿宋" w:cs="仿宋"/>
          <w:sz w:val="32"/>
          <w:szCs w:val="32"/>
          <w:lang w:eastAsia="zh-CN"/>
        </w:rPr>
        <w:t>；</w:t>
      </w:r>
      <w:r>
        <w:rPr>
          <w:rFonts w:hint="eastAsia" w:ascii="仿宋" w:hAnsi="仿宋" w:eastAsia="仿宋" w:cs="仿宋"/>
          <w:sz w:val="32"/>
          <w:szCs w:val="32"/>
        </w:rPr>
        <w:t>项目成果资料(</w:t>
      </w:r>
      <w:r>
        <w:rPr>
          <w:rFonts w:hint="eastAsia" w:ascii="仿宋" w:hAnsi="仿宋" w:eastAsia="仿宋" w:cs="仿宋"/>
          <w:sz w:val="32"/>
          <w:szCs w:val="32"/>
          <w:lang w:eastAsia="zh-CN"/>
        </w:rPr>
        <w:t>调查评价</w:t>
      </w:r>
      <w:r>
        <w:rPr>
          <w:rFonts w:hint="eastAsia" w:ascii="仿宋" w:hAnsi="仿宋" w:eastAsia="仿宋" w:cs="仿宋"/>
          <w:sz w:val="32"/>
          <w:szCs w:val="32"/>
        </w:rPr>
        <w:t>报告和</w:t>
      </w:r>
      <w:r>
        <w:rPr>
          <w:rFonts w:hint="eastAsia" w:ascii="仿宋" w:hAnsi="仿宋" w:eastAsia="仿宋" w:cs="仿宋"/>
          <w:sz w:val="32"/>
          <w:szCs w:val="32"/>
          <w:lang w:eastAsia="zh-CN"/>
        </w:rPr>
        <w:t>工程勘察</w:t>
      </w:r>
      <w:r>
        <w:rPr>
          <w:rFonts w:hint="eastAsia" w:ascii="仿宋" w:hAnsi="仿宋" w:eastAsia="仿宋" w:cs="仿宋"/>
          <w:sz w:val="32"/>
          <w:szCs w:val="32"/>
        </w:rPr>
        <w:t>报告)较齐全，编排较规范，内容全面，</w:t>
      </w:r>
      <w:r>
        <w:rPr>
          <w:rFonts w:hint="eastAsia" w:ascii="仿宋_GB2312" w:hAnsi="仿宋_GB2312" w:eastAsia="仿宋_GB2312" w:cs="仿宋_GB2312"/>
          <w:sz w:val="32"/>
          <w:szCs w:val="32"/>
          <w:lang w:val="en-US" w:eastAsia="zh-CN"/>
        </w:rPr>
        <w:t>按照《陕西省城镇（乡镇）地质灾害风险调查评价技术要求（1:10 000）》（试行）规定执行，</w:t>
      </w:r>
      <w:r>
        <w:rPr>
          <w:rFonts w:hint="eastAsia" w:ascii="仿宋" w:hAnsi="仿宋" w:eastAsia="仿宋" w:cs="仿宋"/>
          <w:sz w:val="32"/>
          <w:szCs w:val="32"/>
        </w:rPr>
        <w:t>符合相关技术要求</w:t>
      </w:r>
      <w:r>
        <w:rPr>
          <w:rFonts w:hint="eastAsia" w:ascii="仿宋_GB2312" w:hAnsi="仿宋_GB2312" w:eastAsia="仿宋_GB2312" w:cs="仿宋_GB2312"/>
          <w:sz w:val="32"/>
          <w:szCs w:val="32"/>
          <w:lang w:val="en-US" w:eastAsia="zh-CN"/>
        </w:rPr>
        <w:t>。</w:t>
      </w:r>
    </w:p>
    <w:p w14:paraId="1E21B3F1">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7、验收方式：由采购单位通过主管部门组织的专家按相关国家标准、质量标准和采购文件所列的各项要求进行野外和室内验收审查，验收审查通过后，提交正式成果纸质版一式四套，电子版U盘一个。</w:t>
      </w:r>
    </w:p>
    <w:p w14:paraId="661C4A81">
      <w:pPr>
        <w:ind w:firstLine="643" w:firstLineChars="200"/>
        <w:rPr>
          <w:rFonts w:ascii="宋体" w:hAnsi="宋体" w:eastAsia="宋体" w:cs="宋体"/>
          <w:b/>
          <w:bCs/>
          <w:sz w:val="32"/>
          <w:szCs w:val="32"/>
        </w:rPr>
      </w:pPr>
      <w:r>
        <w:rPr>
          <w:rFonts w:hint="eastAsia" w:ascii="宋体" w:hAnsi="宋体" w:eastAsia="宋体" w:cs="宋体"/>
          <w:b/>
          <w:bCs/>
          <w:sz w:val="32"/>
          <w:szCs w:val="32"/>
        </w:rPr>
        <w:t>六、</w:t>
      </w:r>
      <w:r>
        <w:rPr>
          <w:rFonts w:hint="eastAsia" w:ascii="宋体" w:hAnsi="宋体" w:eastAsia="宋体" w:cs="宋体"/>
          <w:b/>
          <w:bCs/>
          <w:sz w:val="32"/>
          <w:szCs w:val="32"/>
          <w:lang w:eastAsia="zh-CN"/>
        </w:rPr>
        <w:t>作业单位</w:t>
      </w:r>
      <w:r>
        <w:rPr>
          <w:rFonts w:hint="eastAsia" w:ascii="宋体" w:hAnsi="宋体" w:eastAsia="宋体" w:cs="宋体"/>
          <w:b/>
          <w:bCs/>
          <w:sz w:val="32"/>
          <w:szCs w:val="32"/>
        </w:rPr>
        <w:t>的要求</w:t>
      </w:r>
    </w:p>
    <w:p w14:paraId="5231CAD4">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1、在中华人民共和国境内注册的，具有独立法人资格的供应商；</w:t>
      </w:r>
    </w:p>
    <w:p w14:paraId="12B056F3">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2、具有良好的商业信誉和健全的财务会计制度；</w:t>
      </w:r>
    </w:p>
    <w:p w14:paraId="06B34A26">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3、具有履行合同所必须的设备和专业技术能力；</w:t>
      </w:r>
    </w:p>
    <w:p w14:paraId="1EF16786">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4、有依法缴纳税收和社会保障资金的良好记录；</w:t>
      </w:r>
    </w:p>
    <w:p w14:paraId="4D7F764C">
      <w:pPr>
        <w:pageBreakBefore w:val="0"/>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5、参加本项政府采购活动前三年内，在经营活动中没有重大违法记录。</w:t>
      </w:r>
    </w:p>
    <w:p w14:paraId="12A4B983">
      <w:pPr>
        <w:ind w:firstLine="643" w:firstLineChars="200"/>
        <w:rPr>
          <w:rFonts w:hint="eastAsia" w:ascii="仿宋_GB2312" w:hAnsi="仿宋_GB2312" w:eastAsia="仿宋_GB2312" w:cs="仿宋_GB2312"/>
          <w:sz w:val="32"/>
          <w:szCs w:val="32"/>
          <w:lang w:val="en-US" w:eastAsia="zh-CN"/>
        </w:rPr>
      </w:pPr>
      <w:r>
        <w:rPr>
          <w:rFonts w:hint="eastAsia" w:ascii="宋体" w:hAnsi="宋体" w:eastAsia="宋体" w:cs="宋体"/>
          <w:b/>
          <w:bCs/>
          <w:sz w:val="32"/>
          <w:szCs w:val="32"/>
        </w:rPr>
        <w:t>七、付款方式：</w:t>
      </w:r>
      <w:r>
        <w:rPr>
          <w:rFonts w:hint="eastAsia" w:ascii="仿宋" w:hAnsi="仿宋" w:eastAsia="仿宋" w:cs="仿宋"/>
          <w:sz w:val="32"/>
          <w:szCs w:val="32"/>
          <w:lang w:val="en-US" w:eastAsia="zh-CN"/>
        </w:rPr>
        <w:t>全部工程文件及其它相关资料均按期完成并送至甲方后，甲方向乙方支付费用结算总数的60%，经甲方、专家及上级主管部门野外审查结束后，甲方向乙方支付费用结算总数的20%，经甲方、专家及上级主管部门最终评审结束，获得相关部门正式批复后，甲方向乙方付清剩余地质灾害风险调查评价费。</w:t>
      </w:r>
      <w:r>
        <w:rPr>
          <w:rFonts w:hint="eastAsia" w:ascii="仿宋" w:hAnsi="仿宋" w:eastAsia="仿宋" w:cs="仿宋"/>
          <w:sz w:val="32"/>
          <w:szCs w:val="32"/>
        </w:rPr>
        <w:t>。</w:t>
      </w:r>
    </w:p>
    <w:p w14:paraId="7D5F26F2">
      <w:pPr>
        <w:spacing w:line="520" w:lineRule="exact"/>
        <w:ind w:firstLine="643" w:firstLineChars="200"/>
        <w:rPr>
          <w:rFonts w:ascii="宋体" w:hAnsi="宋体" w:eastAsia="宋体" w:cs="宋体"/>
          <w:b/>
          <w:bCs/>
          <w:sz w:val="32"/>
          <w:szCs w:val="32"/>
        </w:rPr>
      </w:pPr>
      <w:r>
        <w:rPr>
          <w:rFonts w:hint="eastAsia" w:ascii="宋体" w:hAnsi="宋体" w:eastAsia="宋体" w:cs="宋体"/>
          <w:b/>
          <w:bCs/>
          <w:sz w:val="32"/>
          <w:szCs w:val="32"/>
        </w:rPr>
        <w:t>八、采购单位、采购单位地址、项目联系人及联系电话</w:t>
      </w:r>
    </w:p>
    <w:p w14:paraId="0B5995C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1、采购单位：府谷县地质环境监测中心</w:t>
      </w:r>
    </w:p>
    <w:p w14:paraId="0B06266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2、采购单位地址：府谷县新区公共资源交易大楼三楼</w:t>
      </w:r>
    </w:p>
    <w:p w14:paraId="649AF711">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3、项目联系人：郭鹏    联系电话：18098014678</w:t>
      </w:r>
    </w:p>
    <w:p w14:paraId="3E6A105A">
      <w:pPr>
        <w:spacing w:line="520" w:lineRule="exact"/>
        <w:rPr>
          <w:rFonts w:ascii="宋体" w:hAnsi="宋体" w:eastAsia="宋体" w:cs="宋体"/>
          <w:sz w:val="32"/>
          <w:szCs w:val="32"/>
        </w:rPr>
      </w:pPr>
    </w:p>
    <w:p w14:paraId="03A0F661">
      <w:pPr>
        <w:spacing w:line="520" w:lineRule="exact"/>
        <w:ind w:firstLine="4480" w:firstLineChars="1400"/>
        <w:rPr>
          <w:rFonts w:hint="eastAsia" w:ascii="宋体" w:hAnsi="宋体" w:eastAsia="宋体" w:cs="宋体"/>
          <w:sz w:val="32"/>
          <w:szCs w:val="32"/>
        </w:rPr>
      </w:pPr>
    </w:p>
    <w:p w14:paraId="4EB353D8">
      <w:pPr>
        <w:ind w:firstLine="640" w:firstLineChars="20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府谷县地质环境监测站</w:t>
      </w:r>
    </w:p>
    <w:p w14:paraId="72BFC2D6">
      <w:pPr>
        <w:ind w:firstLine="640" w:firstLineChars="20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2026年7月9日</w:t>
      </w:r>
    </w:p>
    <w:p w14:paraId="440A4081">
      <w:pPr>
        <w:pStyle w:val="2"/>
        <w:pageBreakBefore w:val="0"/>
        <w:wordWrap/>
        <w:overflowPunct/>
        <w:topLinePunct w:val="0"/>
        <w:autoSpaceDE/>
        <w:autoSpaceDN/>
        <w:bidi w:val="0"/>
        <w:spacing w:line="600" w:lineRule="exact"/>
        <w:textAlignment w:val="auto"/>
        <w:rPr>
          <w:rFonts w:hint="eastAsia" w:eastAsiaTheme="minorEastAsia"/>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6D293A61"/>
    <w:rsid w:val="00020CD4"/>
    <w:rsid w:val="000C64BD"/>
    <w:rsid w:val="00176C60"/>
    <w:rsid w:val="00184186"/>
    <w:rsid w:val="002133F4"/>
    <w:rsid w:val="002546E1"/>
    <w:rsid w:val="002E62D5"/>
    <w:rsid w:val="004C37CF"/>
    <w:rsid w:val="00597079"/>
    <w:rsid w:val="005C7F2D"/>
    <w:rsid w:val="00720083"/>
    <w:rsid w:val="007820B6"/>
    <w:rsid w:val="0089555B"/>
    <w:rsid w:val="008E6363"/>
    <w:rsid w:val="009233D6"/>
    <w:rsid w:val="009731DA"/>
    <w:rsid w:val="00A11FAC"/>
    <w:rsid w:val="00C625FE"/>
    <w:rsid w:val="00CB539D"/>
    <w:rsid w:val="00CF5D02"/>
    <w:rsid w:val="00DA5D93"/>
    <w:rsid w:val="00DB053B"/>
    <w:rsid w:val="00DF200A"/>
    <w:rsid w:val="00E461D9"/>
    <w:rsid w:val="00F50404"/>
    <w:rsid w:val="01DA15F8"/>
    <w:rsid w:val="03EE5241"/>
    <w:rsid w:val="063E025C"/>
    <w:rsid w:val="0817641F"/>
    <w:rsid w:val="09280DBD"/>
    <w:rsid w:val="0AF42C81"/>
    <w:rsid w:val="1329217F"/>
    <w:rsid w:val="160C2CF4"/>
    <w:rsid w:val="19267BA2"/>
    <w:rsid w:val="1BB26B0A"/>
    <w:rsid w:val="1EE024EB"/>
    <w:rsid w:val="1F2B3267"/>
    <w:rsid w:val="22B3737F"/>
    <w:rsid w:val="22C850E1"/>
    <w:rsid w:val="289A1E54"/>
    <w:rsid w:val="292B28D1"/>
    <w:rsid w:val="2A480641"/>
    <w:rsid w:val="2EDC5332"/>
    <w:rsid w:val="321E2D88"/>
    <w:rsid w:val="32681E04"/>
    <w:rsid w:val="346D1CC9"/>
    <w:rsid w:val="39225214"/>
    <w:rsid w:val="3A1C6923"/>
    <w:rsid w:val="3E1A45E7"/>
    <w:rsid w:val="41913943"/>
    <w:rsid w:val="4222025C"/>
    <w:rsid w:val="44960D2E"/>
    <w:rsid w:val="4A5C1EB7"/>
    <w:rsid w:val="51D70686"/>
    <w:rsid w:val="55222785"/>
    <w:rsid w:val="568F5AD9"/>
    <w:rsid w:val="59CC063F"/>
    <w:rsid w:val="62132757"/>
    <w:rsid w:val="657B1C8E"/>
    <w:rsid w:val="66A23715"/>
    <w:rsid w:val="69797F7E"/>
    <w:rsid w:val="6ABE26E7"/>
    <w:rsid w:val="6AD54390"/>
    <w:rsid w:val="6C705F6D"/>
    <w:rsid w:val="6D293A61"/>
    <w:rsid w:val="77C238E6"/>
    <w:rsid w:val="7FC24DC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3"/>
    <w:basedOn w:val="1"/>
    <w:next w:val="4"/>
    <w:qFormat/>
    <w:uiPriority w:val="0"/>
    <w:pPr>
      <w:spacing w:after="120"/>
    </w:pPr>
    <w:rPr>
      <w:sz w:val="16"/>
      <w:szCs w:val="16"/>
    </w:rPr>
  </w:style>
  <w:style w:type="paragraph" w:customStyle="1" w:styleId="4">
    <w:name w:val="Char1"/>
    <w:basedOn w:val="1"/>
    <w:qFormat/>
    <w:uiPriority w:val="0"/>
    <w:pPr>
      <w:tabs>
        <w:tab w:val="left" w:pos="840"/>
      </w:tabs>
      <w:ind w:left="840" w:hanging="420"/>
    </w:pPr>
    <w:rPr>
      <w:sz w:val="24"/>
      <w:szCs w:val="30"/>
    </w:rPr>
  </w:style>
  <w:style w:type="paragraph" w:styleId="5">
    <w:name w:val="Body Text"/>
    <w:basedOn w:val="1"/>
    <w:next w:val="1"/>
    <w:link w:val="16"/>
    <w:qFormat/>
    <w:uiPriority w:val="0"/>
    <w:pPr>
      <w:spacing w:after="120"/>
    </w:pPr>
    <w:rPr>
      <w:rFonts w:ascii="Calibri" w:hAnsi="Calibri" w:eastAsia="宋体" w:cs="Times New Roman"/>
      <w:szCs w:val="20"/>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eastAsia="宋体"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正文缩进1"/>
    <w:basedOn w:val="1"/>
    <w:qFormat/>
    <w:uiPriority w:val="0"/>
    <w:pPr>
      <w:ind w:firstLine="420" w:firstLineChars="200"/>
    </w:pPr>
  </w:style>
  <w:style w:type="character" w:customStyle="1" w:styleId="13">
    <w:name w:val="页眉 Char"/>
    <w:basedOn w:val="11"/>
    <w:link w:val="7"/>
    <w:qFormat/>
    <w:uiPriority w:val="0"/>
    <w:rPr>
      <w:rFonts w:asciiTheme="minorHAnsi" w:hAnsiTheme="minorHAnsi" w:eastAsiaTheme="minorEastAsia" w:cstheme="minorBidi"/>
      <w:kern w:val="2"/>
      <w:sz w:val="18"/>
      <w:szCs w:val="18"/>
    </w:rPr>
  </w:style>
  <w:style w:type="character" w:customStyle="1" w:styleId="14">
    <w:name w:val="页脚 Char"/>
    <w:basedOn w:val="11"/>
    <w:link w:val="6"/>
    <w:qFormat/>
    <w:uiPriority w:val="0"/>
    <w:rPr>
      <w:rFonts w:asciiTheme="minorHAnsi" w:hAnsiTheme="minorHAnsi" w:eastAsiaTheme="minorEastAsia" w:cstheme="minorBidi"/>
      <w:kern w:val="2"/>
      <w:sz w:val="18"/>
      <w:szCs w:val="18"/>
    </w:rPr>
  </w:style>
  <w:style w:type="paragraph" w:styleId="15">
    <w:name w:val="List Paragraph"/>
    <w:basedOn w:val="1"/>
    <w:unhideWhenUsed/>
    <w:qFormat/>
    <w:uiPriority w:val="99"/>
    <w:pPr>
      <w:ind w:firstLine="420" w:firstLineChars="200"/>
    </w:pPr>
  </w:style>
  <w:style w:type="character" w:customStyle="1" w:styleId="16">
    <w:name w:val="正文文本 字符"/>
    <w:link w:val="5"/>
    <w:qFormat/>
    <w:uiPriority w:val="0"/>
    <w:rPr>
      <w:kern w:val="2"/>
      <w:sz w:val="21"/>
    </w:rPr>
  </w:style>
  <w:style w:type="character" w:customStyle="1" w:styleId="17">
    <w:name w:val="正文文本 Char"/>
    <w:basedOn w:val="11"/>
    <w:semiHidden/>
    <w:qFormat/>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3245</Words>
  <Characters>3425</Characters>
  <Lines>21</Lines>
  <Paragraphs>5</Paragraphs>
  <TotalTime>2</TotalTime>
  <ScaleCrop>false</ScaleCrop>
  <LinksUpToDate>false</LinksUpToDate>
  <CharactersWithSpaces>3930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Administrator</cp:lastModifiedBy>
  <dcterms:modified xsi:type="dcterms:W3CDTF">2026-07-09T04:27:54Z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72148846C3814734AC92E6A0EBB23FA8</vt:lpwstr>
  </property>
  <property fmtid="{D5CDD505-2E9C-101B-9397-08002B2CF9AE}" pid="4" name="KSOTemplateDocerSaveRecord">
    <vt:lpwstr>eyJoZGlkIjoiYjc5MDY2YmNmYThjMmU5ZTllNThmOTA5ZWMzMjRkMmQiLCJ1c2VySWQiOiIzODkyODczNzUifQ==</vt:lpwstr>
  </property>
</Properties>
</file>