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版本号：ZRS-2026-ZC-00920260602001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三原高新技术产业开发区用地情况报告、产业园区用地调查服务项目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ZRS-2026-ZC-009</w:t>
      </w:r>
      <w:r>
        <w:br/>
      </w:r>
      <w:r>
        <w:br/>
      </w:r>
      <w:r>
        <w:br/>
      </w:r>
    </w:p>
    <w:p>
      <w:pPr>
        <w:pStyle w:val="null3"/>
        <w:jc w:val="center"/>
        <w:outlineLvl w:val="2"/>
      </w:pPr>
      <w:r>
        <w:rPr>
          <w:rFonts w:ascii="仿宋_GB2312" w:hAnsi="仿宋_GB2312" w:cs="仿宋_GB2312" w:eastAsia="仿宋_GB2312"/>
          <w:sz w:val="28"/>
          <w:b/>
        </w:rPr>
        <w:t>三原高新技术产业开发区管理委员会</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三原高新技术产业开发区管理委员会</w:t>
      </w:r>
      <w:r>
        <w:rPr>
          <w:rFonts w:ascii="仿宋_GB2312" w:hAnsi="仿宋_GB2312" w:cs="仿宋_GB2312" w:eastAsia="仿宋_GB2312"/>
        </w:rPr>
        <w:t>委托，拟对</w:t>
      </w:r>
      <w:r>
        <w:rPr>
          <w:rFonts w:ascii="仿宋_GB2312" w:hAnsi="仿宋_GB2312" w:cs="仿宋_GB2312" w:eastAsia="仿宋_GB2312"/>
        </w:rPr>
        <w:t>三原高新技术产业开发区用地情况报告、产业园区用地调查服务项目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ZRS-2026-ZC-009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三原高新技术产业开发区用地情况报告、产业园区用地调查服务项目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三原⾼新技术产业开发区⽤地情况报告、产业园区⽤地调查服务项⽬，具体内容详⻅采购⽂件。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采购包1（用地情况报告、产业园区用地调查服务）：属于专门面向中小企业采购。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2、法定代表人或授权代表证明：法定代表人参加谈判时，提供本人身份证；授权代表参加谈判时，提供法定代表人授权书和被授权人身份证；非法人单位参照执行；</w:t>
      </w:r>
    </w:p>
    <w:p>
      <w:pPr>
        <w:pStyle w:val="null3"/>
      </w:pPr>
      <w:r>
        <w:rPr>
          <w:rFonts w:ascii="仿宋_GB2312" w:hAnsi="仿宋_GB2312" w:cs="仿宋_GB2312" w:eastAsia="仿宋_GB2312"/>
        </w:rPr>
        <w:t>3、无重大违法记录的书面声明：参加政府采购活动前三年内，在经营活动中没有重大违法记录的书面声明；</w:t>
      </w:r>
    </w:p>
    <w:p>
      <w:pPr>
        <w:pStyle w:val="null3"/>
      </w:pPr>
      <w:r>
        <w:rPr>
          <w:rFonts w:ascii="仿宋_GB2312" w:hAnsi="仿宋_GB2312" w:cs="仿宋_GB2312" w:eastAsia="仿宋_GB2312"/>
        </w:rPr>
        <w:t>4、税收缴纳证明：提供2026年1月1日以来已缴纳任意一个月完税凭证或税务机关开具的完税证明（任意税种）；依法免税的应提供相关文件证明；</w:t>
      </w:r>
    </w:p>
    <w:p>
      <w:pPr>
        <w:pStyle w:val="null3"/>
      </w:pPr>
      <w:r>
        <w:rPr>
          <w:rFonts w:ascii="仿宋_GB2312" w:hAnsi="仿宋_GB2312" w:cs="仿宋_GB2312" w:eastAsia="仿宋_GB2312"/>
        </w:rPr>
        <w:t>5、社会保障资金缴纳证明：提供2026年1月1日以来已缴存的任意一个月的社会保障资金缴存证明或社保机构开具的社会保险参保缴费情况证明；依法不需要缴纳社会保障资金的应提供相关文件证明；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6、财务状况：提供2024年度或2025年度的财务审计报告（应当包括资产负债表、利润表、现金流量表、所有者权益变动表及其附注，成立时间至提交谈判响应文件截止时间不足一年的可提供成立后任意时段的资产负债表），或提供开标时间前六个月内基本开户银行出具的资信证明及基本存款账户信息；</w:t>
      </w:r>
    </w:p>
    <w:p>
      <w:pPr>
        <w:pStyle w:val="null3"/>
      </w:pPr>
      <w:r>
        <w:rPr>
          <w:rFonts w:ascii="仿宋_GB2312" w:hAnsi="仿宋_GB2312" w:cs="仿宋_GB2312" w:eastAsia="仿宋_GB2312"/>
        </w:rPr>
        <w:t>7、信用查询：供应商不得为“信用中国”网站（www.creditchina.gov.cn）中被列入失信被执行人（跳转至中国执行信息公开网）、重大税收违法失信主体和中国政府采购网（www.ccgp.gov.cn）政府采购严重违法失信行为记录名单的单位；（谈判时，代理机构将现场查询）</w:t>
      </w:r>
    </w:p>
    <w:p>
      <w:pPr>
        <w:pStyle w:val="null3"/>
      </w:pPr>
      <w:r>
        <w:rPr>
          <w:rFonts w:ascii="仿宋_GB2312" w:hAnsi="仿宋_GB2312" w:cs="仿宋_GB2312" w:eastAsia="仿宋_GB2312"/>
        </w:rPr>
        <w:t>8、本项目不接受联合体谈判：提供非联合体谈判声明。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三原高新技术产业开发区管理委员会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陕西省咸阳市三原县冶金大道81号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029-32356666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郭凯、王莎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的规定，按照收费标准收取。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三原高新技术产业开发区管理委员会</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三原高新技术产业开发区管理委员会</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三原高新技术产业开发区管理委员会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陕西卓尔盛工程项目管理有限公司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联系人：郭凯、王莎</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三原高新技术产业开发区用地情况报告、产业园区用地调查服务项目，具体内容详见采购文件。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385,000.00</w:t>
      </w:r>
    </w:p>
    <w:p>
      <w:pPr>
        <w:pStyle w:val="null3"/>
      </w:pPr>
      <w:r>
        <w:rPr>
          <w:rFonts w:ascii="仿宋_GB2312" w:hAnsi="仿宋_GB2312" w:cs="仿宋_GB2312" w:eastAsia="仿宋_GB2312"/>
        </w:rPr>
        <w:t>采购包最高限价（元）: 385,000.00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用地情况报告及产业园区用地调查服务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标的名称：用地情况报告及产业园区用地调查服务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2"/>
              <w:jc w:val="both"/>
            </w:pPr>
            <w:r>
              <w:rPr>
                <w:rFonts w:ascii="仿宋_GB2312" w:hAnsi="仿宋_GB2312" w:cs="仿宋_GB2312" w:eastAsia="仿宋_GB2312"/>
                <w:sz w:val="28"/>
                <w:b/>
              </w:rPr>
              <w:t>一、</w:t>
            </w:r>
            <w:r>
              <w:rPr>
                <w:rFonts w:ascii="仿宋_GB2312" w:hAnsi="仿宋_GB2312" w:cs="仿宋_GB2312" w:eastAsia="仿宋_GB2312"/>
                <w:sz w:val="28"/>
                <w:b/>
              </w:rPr>
              <w:t>文件依据</w:t>
            </w:r>
          </w:p>
          <w:p>
            <w:pPr>
              <w:pStyle w:val="null3"/>
              <w:ind w:firstLine="560"/>
              <w:jc w:val="both"/>
            </w:pPr>
            <w:r>
              <w:rPr>
                <w:rFonts w:ascii="仿宋_GB2312" w:hAnsi="仿宋_GB2312" w:cs="仿宋_GB2312" w:eastAsia="仿宋_GB2312"/>
                <w:sz w:val="28"/>
              </w:rPr>
              <w:t>1.产业园区用地调查工作：依据</w:t>
            </w:r>
            <w:r>
              <w:rPr>
                <w:rFonts w:ascii="仿宋_GB2312" w:hAnsi="仿宋_GB2312" w:cs="仿宋_GB2312" w:eastAsia="仿宋_GB2312"/>
                <w:sz w:val="28"/>
              </w:rPr>
              <w:t>陕西省自然资源厅办公室印发《关于开展产业园区用地调查工作的通知》（陕自然资办函〔</w:t>
            </w:r>
            <w:r>
              <w:rPr>
                <w:rFonts w:ascii="仿宋_GB2312" w:hAnsi="仿宋_GB2312" w:cs="仿宋_GB2312" w:eastAsia="仿宋_GB2312"/>
                <w:sz w:val="28"/>
              </w:rPr>
              <w:t>2025〕87号）</w:t>
            </w:r>
            <w:r>
              <w:rPr>
                <w:rFonts w:ascii="仿宋_GB2312" w:hAnsi="仿宋_GB2312" w:cs="仿宋_GB2312" w:eastAsia="仿宋_GB2312"/>
                <w:sz w:val="28"/>
              </w:rPr>
              <w:t>开展产业园区用地调查；</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调区扩区</w:t>
            </w:r>
            <w:r>
              <w:rPr>
                <w:rFonts w:ascii="仿宋_GB2312" w:hAnsi="仿宋_GB2312" w:cs="仿宋_GB2312" w:eastAsia="仿宋_GB2312"/>
                <w:sz w:val="28"/>
              </w:rPr>
              <w:t>用地情况报告编制工作：</w:t>
            </w:r>
            <w:r>
              <w:rPr>
                <w:rFonts w:ascii="仿宋_GB2312" w:hAnsi="仿宋_GB2312" w:cs="仿宋_GB2312" w:eastAsia="仿宋_GB2312"/>
                <w:sz w:val="28"/>
              </w:rPr>
              <w:t>依据陕西省工业和信息化厅《关于做好＜中国开发区审核公告目录（</w:t>
            </w:r>
            <w:r>
              <w:rPr>
                <w:rFonts w:ascii="仿宋_GB2312" w:hAnsi="仿宋_GB2312" w:cs="仿宋_GB2312" w:eastAsia="仿宋_GB2312"/>
                <w:sz w:val="28"/>
              </w:rPr>
              <w:t>2018年版）＞修订有关工作的通知》（陕工信发[2025]52号）、</w:t>
            </w:r>
            <w:r>
              <w:rPr>
                <w:rFonts w:ascii="仿宋_GB2312" w:hAnsi="仿宋_GB2312" w:cs="仿宋_GB2312" w:eastAsia="仿宋_GB2312"/>
                <w:sz w:val="28"/>
              </w:rPr>
              <w:t>陕西省工业和信息化厅《关于进一步做好高新区调整优化有关工作的通知》</w:t>
            </w:r>
            <w:r>
              <w:rPr>
                <w:rFonts w:ascii="仿宋_GB2312" w:hAnsi="仿宋_GB2312" w:cs="仿宋_GB2312" w:eastAsia="仿宋_GB2312"/>
                <w:sz w:val="28"/>
              </w:rPr>
              <w:t>、陕西省自然资源厅办公室《关于印发</w:t>
            </w:r>
            <w:r>
              <w:rPr>
                <w:rFonts w:ascii="仿宋_GB2312" w:hAnsi="仿宋_GB2312" w:cs="仿宋_GB2312" w:eastAsia="仿宋_GB2312"/>
                <w:sz w:val="28"/>
              </w:rPr>
              <w:t>&lt;开发区用地审核规范&gt;的通知》（陕自然资办发〔2020〕38号）</w:t>
            </w:r>
            <w:r>
              <w:rPr>
                <w:rFonts w:ascii="仿宋_GB2312" w:hAnsi="仿宋_GB2312" w:cs="仿宋_GB2312" w:eastAsia="仿宋_GB2312"/>
                <w:sz w:val="28"/>
              </w:rPr>
              <w:t>。</w:t>
            </w:r>
          </w:p>
          <w:p>
            <w:pPr>
              <w:pStyle w:val="null3"/>
              <w:ind w:firstLine="562"/>
              <w:jc w:val="both"/>
            </w:pPr>
            <w:r>
              <w:rPr>
                <w:rFonts w:ascii="仿宋_GB2312" w:hAnsi="仿宋_GB2312" w:cs="仿宋_GB2312" w:eastAsia="仿宋_GB2312"/>
                <w:sz w:val="28"/>
                <w:b/>
              </w:rPr>
              <w:t>二、</w:t>
            </w:r>
            <w:r>
              <w:rPr>
                <w:rFonts w:ascii="仿宋_GB2312" w:hAnsi="仿宋_GB2312" w:cs="仿宋_GB2312" w:eastAsia="仿宋_GB2312"/>
                <w:sz w:val="28"/>
                <w:b/>
              </w:rPr>
              <w:t>工作目标</w:t>
            </w:r>
          </w:p>
          <w:p>
            <w:pPr>
              <w:pStyle w:val="null3"/>
              <w:ind w:firstLine="560"/>
              <w:jc w:val="both"/>
            </w:pPr>
            <w:r>
              <w:rPr>
                <w:rFonts w:ascii="仿宋_GB2312" w:hAnsi="仿宋_GB2312" w:cs="仿宋_GB2312" w:eastAsia="仿宋_GB2312"/>
                <w:sz w:val="28"/>
              </w:rPr>
              <w:t>1.产业园区用地调查工作</w:t>
            </w:r>
            <w:r>
              <w:rPr>
                <w:rFonts w:ascii="仿宋_GB2312" w:hAnsi="仿宋_GB2312" w:cs="仿宋_GB2312" w:eastAsia="仿宋_GB2312"/>
                <w:sz w:val="28"/>
              </w:rPr>
              <w:t>：通过开展产业园区用地调查，全面了解产业园区用地状况，摸清产业园区土地批准、供应情况、土地开发建设情况、土地低效情况，分析测算产业园区未来发展空间、存量用地潜力，为中国开发区审核公告目录（</w:t>
            </w:r>
            <w:r>
              <w:rPr>
                <w:rFonts w:ascii="仿宋_GB2312" w:hAnsi="仿宋_GB2312" w:cs="仿宋_GB2312" w:eastAsia="仿宋_GB2312"/>
                <w:sz w:val="28"/>
              </w:rPr>
              <w:t>2018年版）修订审核工作提供支撑。</w:t>
            </w:r>
          </w:p>
          <w:p>
            <w:pPr>
              <w:pStyle w:val="null3"/>
              <w:ind w:firstLine="560"/>
              <w:jc w:val="both"/>
            </w:pPr>
            <w:r>
              <w:rPr>
                <w:rFonts w:ascii="仿宋_GB2312" w:hAnsi="仿宋_GB2312" w:cs="仿宋_GB2312" w:eastAsia="仿宋_GB2312"/>
                <w:sz w:val="28"/>
              </w:rPr>
              <w:t>2.调区扩区用地情况报告工作内容：全面核实整合优化后开发区用地边界、规模、权属及利用现状，确保数据真实准确、图数一致；分析调区扩区范围国土空间规划符合性、占用永久基本农田、生态保护红线、文物保护紫线等情况，为上级审核认定开发区整合优化方案、锁定园区范围提供依据。</w:t>
            </w:r>
          </w:p>
          <w:p>
            <w:pPr>
              <w:pStyle w:val="null3"/>
              <w:ind w:firstLine="560"/>
              <w:jc w:val="both"/>
            </w:pPr>
            <w:r>
              <w:rPr>
                <w:rFonts w:ascii="仿宋_GB2312" w:hAnsi="仿宋_GB2312" w:cs="仿宋_GB2312" w:eastAsia="仿宋_GB2312"/>
                <w:sz w:val="28"/>
              </w:rPr>
              <w:t>三、</w:t>
            </w:r>
            <w:r>
              <w:rPr>
                <w:rFonts w:ascii="仿宋_GB2312" w:hAnsi="仿宋_GB2312" w:cs="仿宋_GB2312" w:eastAsia="仿宋_GB2312"/>
                <w:sz w:val="28"/>
                <w:b/>
              </w:rPr>
              <w:t>工作内容</w:t>
            </w:r>
          </w:p>
          <w:p>
            <w:pPr>
              <w:pStyle w:val="null3"/>
              <w:ind w:firstLine="560"/>
              <w:jc w:val="both"/>
            </w:pPr>
            <w:r>
              <w:rPr>
                <w:rFonts w:ascii="仿宋_GB2312" w:hAnsi="仿宋_GB2312" w:cs="仿宋_GB2312" w:eastAsia="仿宋_GB2312"/>
                <w:sz w:val="28"/>
              </w:rPr>
              <w:t>1.产业园区用地调查工作内容</w:t>
            </w:r>
            <w:r>
              <w:rPr>
                <w:rFonts w:ascii="仿宋_GB2312" w:hAnsi="仿宋_GB2312" w:cs="仿宋_GB2312" w:eastAsia="仿宋_GB2312"/>
                <w:sz w:val="28"/>
              </w:rPr>
              <w:t>：为贯彻落实二十届三中全会</w:t>
            </w:r>
            <w:r>
              <w:rPr>
                <w:rFonts w:ascii="仿宋_GB2312" w:hAnsi="仿宋_GB2312" w:cs="仿宋_GB2312" w:eastAsia="仿宋_GB2312"/>
                <w:sz w:val="28"/>
              </w:rPr>
              <w:t>“开展产业园区用地专项治理工作”精神，陕西省自然资源厅办公室印发《关于开展产业园区用地调查工作的通知》（陕自然资办函〔2025〕87号）文件，依据文件要求，结合《产业园区用地调查技术方案》</w:t>
            </w:r>
            <w:r>
              <w:rPr>
                <w:rFonts w:ascii="仿宋_GB2312" w:hAnsi="仿宋_GB2312" w:cs="仿宋_GB2312" w:eastAsia="仿宋_GB2312"/>
                <w:sz w:val="28"/>
              </w:rPr>
              <w:t>，</w:t>
            </w:r>
            <w:r>
              <w:rPr>
                <w:rFonts w:ascii="仿宋_GB2312" w:hAnsi="仿宋_GB2312" w:cs="仿宋_GB2312" w:eastAsia="仿宋_GB2312"/>
                <w:sz w:val="28"/>
              </w:rPr>
              <w:t>开展此项调查，具体内容</w:t>
            </w:r>
            <w:r>
              <w:rPr>
                <w:rFonts w:ascii="仿宋_GB2312" w:hAnsi="仿宋_GB2312" w:cs="仿宋_GB2312" w:eastAsia="仿宋_GB2312"/>
                <w:sz w:val="28"/>
              </w:rPr>
              <w:t>包括核实开发区土地批准、供应情况，</w:t>
            </w:r>
            <w:r>
              <w:rPr>
                <w:rFonts w:ascii="仿宋_GB2312" w:hAnsi="仿宋_GB2312" w:cs="仿宋_GB2312" w:eastAsia="仿宋_GB2312"/>
                <w:sz w:val="28"/>
              </w:rPr>
              <w:t>排查低效工矿仓储用地、测算开发区管理提升潜力、低效盘活潜力、结构优化潜力等存量用地潜力，以及矢量数据、图件成果编制、报告编制</w:t>
            </w:r>
            <w:r>
              <w:rPr>
                <w:rFonts w:ascii="仿宋_GB2312" w:hAnsi="仿宋_GB2312" w:cs="仿宋_GB2312" w:eastAsia="仿宋_GB2312"/>
                <w:sz w:val="28"/>
              </w:rPr>
              <w:t>、</w:t>
            </w:r>
            <w:r>
              <w:rPr>
                <w:rFonts w:ascii="仿宋_GB2312" w:hAnsi="仿宋_GB2312" w:cs="仿宋_GB2312" w:eastAsia="仿宋_GB2312"/>
                <w:sz w:val="28"/>
              </w:rPr>
              <w:t>省、市、县</w:t>
            </w:r>
            <w:r>
              <w:rPr>
                <w:rFonts w:ascii="仿宋_GB2312" w:hAnsi="仿宋_GB2312" w:cs="仿宋_GB2312" w:eastAsia="仿宋_GB2312"/>
                <w:sz w:val="28"/>
              </w:rPr>
              <w:t>三</w:t>
            </w:r>
            <w:r>
              <w:rPr>
                <w:rFonts w:ascii="仿宋_GB2312" w:hAnsi="仿宋_GB2312" w:cs="仿宋_GB2312" w:eastAsia="仿宋_GB2312"/>
                <w:sz w:val="28"/>
              </w:rPr>
              <w:t>级自然资源管理部门审核修改等。</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调区扩区用地情况报告工作内容：</w:t>
            </w:r>
            <w:r>
              <w:rPr>
                <w:rFonts w:ascii="仿宋_GB2312" w:hAnsi="仿宋_GB2312" w:cs="仿宋_GB2312" w:eastAsia="仿宋_GB2312"/>
                <w:sz w:val="28"/>
              </w:rPr>
              <w:t>按照《陕西省省级高新技术产业开发区认定管理办法》、陕西省工业和信息化厅《关于进一步做好高新区调整优化有关工作的通知》，依据陕西省自然资源厅办公室《关于印发</w:t>
            </w:r>
            <w:r>
              <w:rPr>
                <w:rFonts w:ascii="仿宋_GB2312" w:hAnsi="仿宋_GB2312" w:cs="仿宋_GB2312" w:eastAsia="仿宋_GB2312"/>
                <w:sz w:val="28"/>
              </w:rPr>
              <w:t>&lt;开发区用地审核规范&gt;的通知》（陕自然资办发〔2020〕38号）文件要求</w:t>
            </w:r>
            <w:r>
              <w:rPr>
                <w:rFonts w:ascii="仿宋_GB2312" w:hAnsi="仿宋_GB2312" w:cs="仿宋_GB2312" w:eastAsia="仿宋_GB2312"/>
                <w:sz w:val="28"/>
              </w:rPr>
              <w:t>，具体内容包括：</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1）完成调区扩区范围矢量数据（shp格式）和国家2000 大地坐标；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2）完成调区扩区范围是否符合国土空间规划，是否占用永久基本农田、生态保护红线、违法用地、权属清晰等；</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3）完成</w:t>
            </w:r>
            <w:r>
              <w:rPr>
                <w:rFonts w:ascii="仿宋_GB2312" w:hAnsi="仿宋_GB2312" w:cs="仿宋_GB2312" w:eastAsia="仿宋_GB2312"/>
                <w:sz w:val="28"/>
              </w:rPr>
              <w:t>调区扩区</w:t>
            </w:r>
            <w:r>
              <w:rPr>
                <w:rFonts w:ascii="仿宋_GB2312" w:hAnsi="仿宋_GB2312" w:cs="仿宋_GB2312" w:eastAsia="仿宋_GB2312"/>
                <w:sz w:val="28"/>
              </w:rPr>
              <w:t>用地情况报告编写；</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4）完成位置示意图、边界形状图、符合国土空间规划图、遥感影像图等相关图件成果编绘；</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5）完成相关表格数据，以及省、市、县自然资源主管部门审查。</w:t>
            </w:r>
          </w:p>
          <w:p>
            <w:pPr>
              <w:pStyle w:val="null3"/>
              <w:ind w:firstLine="562"/>
              <w:jc w:val="both"/>
            </w:pPr>
            <w:r>
              <w:rPr>
                <w:rFonts w:ascii="仿宋_GB2312" w:hAnsi="仿宋_GB2312" w:cs="仿宋_GB2312" w:eastAsia="仿宋_GB2312"/>
                <w:sz w:val="28"/>
                <w:b/>
              </w:rPr>
              <w:t>四、成果文件要求</w:t>
            </w:r>
          </w:p>
          <w:p>
            <w:pPr>
              <w:pStyle w:val="null3"/>
              <w:ind w:firstLine="560"/>
              <w:jc w:val="both"/>
            </w:pPr>
            <w:r>
              <w:rPr>
                <w:rFonts w:ascii="仿宋_GB2312" w:hAnsi="仿宋_GB2312" w:cs="仿宋_GB2312" w:eastAsia="仿宋_GB2312"/>
                <w:sz w:val="28"/>
              </w:rPr>
              <w:t>1.成果文件组成：产业园区用地调查/调区扩区用地情况报告、表格数据、相关图件成果。</w:t>
            </w:r>
          </w:p>
          <w:p>
            <w:pPr>
              <w:pStyle w:val="null3"/>
              <w:ind w:firstLine="560"/>
              <w:jc w:val="both"/>
            </w:pPr>
            <w:r>
              <w:rPr>
                <w:rFonts w:ascii="仿宋_GB2312" w:hAnsi="仿宋_GB2312" w:cs="仿宋_GB2312" w:eastAsia="仿宋_GB2312"/>
                <w:sz w:val="28"/>
              </w:rPr>
              <w:t>2.成果文件的格式要求：纸质版及电子版（PDF、Excel和JPG格式）。</w:t>
            </w:r>
          </w:p>
          <w:p>
            <w:pPr>
              <w:pStyle w:val="null3"/>
              <w:ind w:firstLine="560"/>
              <w:jc w:val="both"/>
            </w:pPr>
            <w:r>
              <w:rPr>
                <w:rFonts w:ascii="仿宋_GB2312" w:hAnsi="仿宋_GB2312" w:cs="仿宋_GB2312" w:eastAsia="仿宋_GB2312"/>
                <w:sz w:val="28"/>
              </w:rPr>
              <w:t>3.成果文件的份数要求：产业园区用地调查/调区扩区用地情况报告、表格数据、图件成果纸质版2份、电子版1份。</w:t>
            </w:r>
          </w:p>
          <w:p>
            <w:pPr>
              <w:pStyle w:val="null3"/>
              <w:ind w:firstLine="562"/>
              <w:jc w:val="both"/>
            </w:pPr>
            <w:r>
              <w:rPr>
                <w:rFonts w:ascii="仿宋_GB2312" w:hAnsi="仿宋_GB2312" w:cs="仿宋_GB2312" w:eastAsia="仿宋_GB2312"/>
                <w:sz w:val="28"/>
                <w:b/>
              </w:rPr>
              <w:t>五、服务期</w:t>
            </w:r>
          </w:p>
          <w:p>
            <w:pPr>
              <w:pStyle w:val="null3"/>
              <w:ind w:firstLine="560"/>
              <w:jc w:val="both"/>
            </w:pPr>
            <w:r>
              <w:rPr>
                <w:rFonts w:ascii="仿宋_GB2312" w:hAnsi="仿宋_GB2312" w:cs="仿宋_GB2312" w:eastAsia="仿宋_GB2312"/>
                <w:sz w:val="28"/>
              </w:rPr>
              <w:t>服务期：</w:t>
            </w:r>
            <w:r>
              <w:rPr>
                <w:rFonts w:ascii="仿宋_GB2312" w:hAnsi="仿宋_GB2312" w:cs="仿宋_GB2312" w:eastAsia="仿宋_GB2312"/>
                <w:sz w:val="28"/>
              </w:rPr>
              <w:t>6个月</w:t>
            </w:r>
          </w:p>
          <w:p>
            <w:pPr>
              <w:pStyle w:val="null3"/>
              <w:ind w:firstLine="562"/>
              <w:jc w:val="both"/>
            </w:pPr>
            <w:r>
              <w:rPr>
                <w:rFonts w:ascii="仿宋_GB2312" w:hAnsi="仿宋_GB2312" w:cs="仿宋_GB2312" w:eastAsia="仿宋_GB2312"/>
                <w:sz w:val="28"/>
                <w:b/>
              </w:rPr>
              <w:t>六、人员配备</w:t>
            </w:r>
          </w:p>
          <w:p>
            <w:pPr>
              <w:pStyle w:val="null3"/>
              <w:ind w:firstLine="560"/>
              <w:jc w:val="both"/>
            </w:pPr>
            <w:r>
              <w:rPr>
                <w:rFonts w:ascii="仿宋_GB2312" w:hAnsi="仿宋_GB2312" w:cs="仿宋_GB2312" w:eastAsia="仿宋_GB2312"/>
                <w:sz w:val="28"/>
              </w:rPr>
              <w:t>拟投入项目人员不少于9人</w:t>
            </w:r>
            <w:r>
              <w:rPr>
                <w:rFonts w:ascii="仿宋_GB2312" w:hAnsi="仿宋_GB2312" w:cs="仿宋_GB2312" w:eastAsia="仿宋_GB2312"/>
                <w:sz w:val="28"/>
              </w:rPr>
              <w:t>，其中项目负责人为注册城乡规划师</w:t>
            </w:r>
            <w:r>
              <w:rPr>
                <w:rFonts w:ascii="仿宋_GB2312" w:hAnsi="仿宋_GB2312" w:cs="仿宋_GB2312" w:eastAsia="仿宋_GB2312"/>
                <w:sz w:val="28"/>
              </w:rPr>
              <w:t>。</w:t>
            </w:r>
            <w:r>
              <w:rPr>
                <w:rFonts w:ascii="仿宋_GB2312" w:hAnsi="仿宋_GB2312" w:cs="仿宋_GB2312" w:eastAsia="仿宋_GB2312"/>
                <w:sz w:val="28"/>
              </w:rPr>
              <w:t>（提供相应证书扫描件）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拟投入项目人员不少于9人，其中项目负责人为注册城乡规划师。（提供相应证书扫描件）</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供应商根据本项目服务实际作业需要，按需配置配套设施设备、工具仪器及办公后勤设施等，所有进场设施设备性能、参数、产能均满足项目全周期服务及履约需求。</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符合国家及行业标准要求，满足项目实际需要。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（1）符合国家及行业标准，全部成果完整、准确、规范，满足归档、核查等工作使用要求。 （2）存在一般性瑕疵的，成交单位须在规定时限内完成整改、复核直至验收合格；存在重大质量问题的，不予验收，限期重做并承担相应责任。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进度款，合同签订之日起，达到付款条件起15个工作日内，支付合同总金额的40.0%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进度款，项目成果通过省、市、县自然资源主管部门审核后，达到付款条件起15个工作日内，支付合同总金额的60.0%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（1）甲乙双方必须遵守本合同并执行合同中的各项规定，保证本合同的正常履行。（2） 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（3）甲方发现乙方人员资质造假可立即终止合同。 任何一方不履行本合同约定的义务或履行义务不符合本合同约定的，视为违约，应停止违约行为，并承担继续履行、采取补救措施或赔偿损失等违约责任；因履行本合同产生的争议，甲乙双方应友好协商解决；协商不成的，双方同意向甲方住所地有管辖权的人民法院提起诉讼解决。</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谈判响应文件截止时间不足一年的可提供成立后任意时段的资产负债表），或提供开标时间前六个月内基本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法定代表人或授权代表证明</w:t>
            </w:r>
          </w:p>
        </w:tc>
        <w:tc>
          <w:tcPr>
            <w:tcW w:type="dxa" w:w="3322"/>
          </w:tcPr>
          <w:p>
            <w:pPr>
              <w:pStyle w:val="null3"/>
            </w:pPr>
            <w:r>
              <w:rPr>
                <w:rFonts w:ascii="仿宋_GB2312" w:hAnsi="仿宋_GB2312" w:cs="仿宋_GB2312" w:eastAsia="仿宋_GB2312"/>
              </w:rPr>
              <w:t>法定代表人参加谈判时，提供本人身份证；授权代表参加谈判时，提供法定代表人授权书和被授权人身份证；非法人单位参照执行；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谈判响应文件截止时间不足一年的可提供成立后任意时段的资产负债表），或提供开标时间前六个月内基本开户银行出具的资信证明及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跳转至中国执行信息公开网）、重大税收违法失信主体和中国政府采购网（www.ccgp.gov.cn）政府采购严重违法失信行为记录名单的单位；（谈判时，代理机构将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提供非联合体谈判声明。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谈判无效条件：响应文件未按谈判文件要求签署、盖章的</w:t>
            </w:r>
          </w:p>
        </w:tc>
        <w:tc>
          <w:tcPr>
            <w:tcW w:type="dxa" w:w="1661"/>
          </w:tcPr>
          <w:p>
            <w:pPr>
              <w:pStyle w:val="null3"/>
            </w:pPr>
            <w:r>
              <w:rPr>
                <w:rFonts w:ascii="仿宋_GB2312" w:hAnsi="仿宋_GB2312" w:cs="仿宋_GB2312" w:eastAsia="仿宋_GB2312"/>
              </w:rPr>
              <w:t>响应文件封面 拟投入人员及设备.docx 标的清单 服务内容及服务要求应答表.docx 商务应答表.docx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谈判无效条件：供应商谈判报价超出采购预算或最高限价的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谈判无效条件：存在其它不符合法律法规或谈判文件规定的谈判无效情形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详见附件：拟投入人员及设备.docx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