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版本号：2026-ZYD-ZB-016.1B120260821001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2026年中央财政林业草原改革发展资金森林草原防火补助项目(二次)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2026-ZYD-ZB-016.1B1</w:t>
      </w:r>
      <w:r>
        <w:br/>
      </w:r>
      <w:r>
        <w:br/>
      </w:r>
      <w:r>
        <w:br/>
      </w:r>
    </w:p>
    <w:p>
      <w:pPr>
        <w:pStyle w:val="null3"/>
        <w:jc w:val="center"/>
        <w:outlineLvl w:val="2"/>
      </w:pPr>
      <w:r>
        <w:rPr>
          <w:rFonts w:ascii="仿宋_GB2312" w:hAnsi="仿宋_GB2312" w:cs="仿宋_GB2312" w:eastAsia="仿宋_GB2312"/>
          <w:sz w:val="28"/>
          <w:b/>
        </w:rPr>
        <w:t>西安市周至县秦岭生态环境保护和综合执法局</w:t>
      </w:r>
    </w:p>
    <w:p>
      <w:pPr>
        <w:pStyle w:val="null3"/>
        <w:jc w:val="center"/>
        <w:outlineLvl w:val="2"/>
      </w:pPr>
      <w:r>
        <w:rPr>
          <w:rFonts w:ascii="仿宋_GB2312" w:hAnsi="仿宋_GB2312" w:cs="仿宋_GB2312" w:eastAsia="仿宋_GB2312"/>
          <w:sz w:val="28"/>
          <w:b/>
        </w:rPr>
        <w:t>陕西中扬德项目管理有限公司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陕西中扬德项目管理有限公司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西安市周至县秦岭生态环境保护和综合执法局</w:t>
      </w:r>
      <w:r>
        <w:rPr>
          <w:rFonts w:ascii="仿宋_GB2312" w:hAnsi="仿宋_GB2312" w:cs="仿宋_GB2312" w:eastAsia="仿宋_GB2312"/>
        </w:rPr>
        <w:t>委托，拟对</w:t>
      </w:r>
      <w:r>
        <w:rPr>
          <w:rFonts w:ascii="仿宋_GB2312" w:hAnsi="仿宋_GB2312" w:cs="仿宋_GB2312" w:eastAsia="仿宋_GB2312"/>
        </w:rPr>
        <w:t>2026年中央财政林业草原改革发展资金森林草原防火补助项目(二次)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2026-ZYD-ZB-016.1B1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2026年中央财政林业草原改革发展资金森林草原防火补助项目(二次)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储备防火物资装备2090件（个、套、台）。包括：2000个灭火简易背包，30台背负式风力灭火机，30台割灌机，30台油锯。</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采购包1（2026年中央财政林业草原改革发展资金森林草原防火补助项目）：属于专门面向中小企业采购。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1、供应商授权：法定代表人授权书（附法定代表人、被授权人身份证复印件）；法定代表人直接参加投标，须提供法定代表人身份证明及身份证复印件。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2、供应商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西安市周至县秦岭生态环境保护和综合执法局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周至县二曲镇农商街中段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周至县秦岭生态环境保护和综合执法局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029-87113178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陕西中扬德项目管理有限公司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陕西省西安市新城区西安市新城区东元西路东岸阳光6号楼2711号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18165392706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采购包1：366,400.00元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代理服务费收费标准：成交供应商在领取《成交通知书》之前，向采购代理机构一次付清代理服务费。 采购代理服务费的金额依据《招标代理服务收费管理暂行办法》 计价格[2002]1980号文、《国家发展改革委关于降低部分建设项目收费标准规范收费行为等有关问题的通知》 发改价格[2011]534 号文，以中标价为基数,按标准计取代理服务费。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西安市周至县秦岭生态环境保护和综合执法局</w:t>
      </w:r>
      <w:r>
        <w:rPr>
          <w:rFonts w:ascii="仿宋_GB2312" w:hAnsi="仿宋_GB2312" w:cs="仿宋_GB2312" w:eastAsia="仿宋_GB2312"/>
        </w:rPr>
        <w:t>和</w:t>
      </w:r>
      <w:r>
        <w:rPr>
          <w:rFonts w:ascii="仿宋_GB2312" w:hAnsi="仿宋_GB2312" w:cs="仿宋_GB2312" w:eastAsia="仿宋_GB2312"/>
        </w:rPr>
        <w:t>陕西中扬德项目管理有限公司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西安市周至县秦岭生态环境保护和综合执法局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陕西中扬德项目管理有限公司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西安市周至县秦岭生态环境保护和综合执法局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陕西中扬德项目管理有限公司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单位应保证在本项目中使用的任何技术、产品和服务（包括部分使用），不会产生因第三方提出侵犯其专利权、商标权或其它知识产权而引起的法律和经济纠纷，如因专利权、商标权或其它知识产权而引起法律和经济纠纷，由投标单位承担所有相关责任。招标人享有本项目实施过程中产生的知识成果及知识产权。 二、投标单位将在采购项目实施过程中采用自有或者第三方知识成果的，使用该知识成果后，投标单位需提供开发接口和开发手册等技术资料，并承诺提供无限期支持，招标人享有使用权（含招标人委托第三方在该项目后续开发的使用权）。 三、如采用投标单位所不拥有的知识产权，则在投标报价中必须包括合法使用该知识产权的相关费用。</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符合国家及行业相关标准、规范要求。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联系人：李工/何工</w:t>
      </w:r>
    </w:p>
    <w:p>
      <w:pPr>
        <w:pStyle w:val="null3"/>
      </w:pPr>
      <w:r>
        <w:rPr>
          <w:rFonts w:ascii="仿宋_GB2312" w:hAnsi="仿宋_GB2312" w:cs="仿宋_GB2312" w:eastAsia="仿宋_GB2312"/>
        </w:rPr>
        <w:t>联系电话：029-85160588</w:t>
      </w:r>
    </w:p>
    <w:p>
      <w:pPr>
        <w:pStyle w:val="null3"/>
      </w:pPr>
      <w:r>
        <w:rPr>
          <w:rFonts w:ascii="仿宋_GB2312" w:hAnsi="仿宋_GB2312" w:cs="仿宋_GB2312" w:eastAsia="仿宋_GB2312"/>
        </w:rPr>
        <w:t>地址：周至县环沙路公园一号</w:t>
      </w:r>
    </w:p>
    <w:p>
      <w:pPr>
        <w:pStyle w:val="null3"/>
      </w:pPr>
      <w:r>
        <w:rPr>
          <w:rFonts w:ascii="仿宋_GB2312" w:hAnsi="仿宋_GB2312" w:cs="仿宋_GB2312" w:eastAsia="仿宋_GB2312"/>
        </w:rPr>
        <w:t>邮编：710400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储备防火物资装备2090件（个、套、台）。包括：2000个灭火简易背包，30台背负式风力灭火机，30台割灌机，30台油锯。</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366,400.00</w:t>
      </w:r>
    </w:p>
    <w:p>
      <w:pPr>
        <w:pStyle w:val="null3"/>
      </w:pPr>
      <w:r>
        <w:rPr>
          <w:rFonts w:ascii="仿宋_GB2312" w:hAnsi="仿宋_GB2312" w:cs="仿宋_GB2312" w:eastAsia="仿宋_GB2312"/>
        </w:rPr>
        <w:t>采购包最高限价（元）: 366,400.00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2026年中央财政林业草原改革发展资金森林草原防火补助项目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366,400.00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标的名称：2026年中央财政林业草原改革发展资金森林草原防火补助项目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w:t>
            </w:r>
            <w:r>
              <w:rPr>
                <w:rFonts w:ascii="仿宋_GB2312" w:hAnsi="仿宋_GB2312" w:cs="仿宋_GB2312" w:eastAsia="仿宋_GB2312"/>
                <w:sz w:val="18"/>
              </w:rPr>
              <w:t>项目名称：</w:t>
            </w:r>
            <w:r>
              <w:rPr>
                <w:rFonts w:ascii="仿宋_GB2312" w:hAnsi="仿宋_GB2312" w:cs="仿宋_GB2312" w:eastAsia="仿宋_GB2312"/>
                <w:sz w:val="18"/>
              </w:rPr>
              <w:t>周至县</w:t>
            </w:r>
            <w:r>
              <w:rPr>
                <w:rFonts w:ascii="仿宋_GB2312" w:hAnsi="仿宋_GB2312" w:cs="仿宋_GB2312" w:eastAsia="仿宋_GB2312"/>
                <w:sz w:val="18"/>
              </w:rPr>
              <w:t>2026年中央财政林业改革发展资金森林草原防火项目</w:t>
            </w:r>
          </w:p>
          <w:p>
            <w:pPr>
              <w:pStyle w:val="null3"/>
              <w:jc w:val="both"/>
            </w:pPr>
            <w:r>
              <w:rPr>
                <w:rFonts w:ascii="仿宋_GB2312" w:hAnsi="仿宋_GB2312" w:cs="仿宋_GB2312" w:eastAsia="仿宋_GB2312"/>
                <w:sz w:val="18"/>
              </w:rPr>
              <w:t>二、</w:t>
            </w:r>
            <w:r>
              <w:rPr>
                <w:rFonts w:ascii="仿宋_GB2312" w:hAnsi="仿宋_GB2312" w:cs="仿宋_GB2312" w:eastAsia="仿宋_GB2312"/>
                <w:sz w:val="18"/>
              </w:rPr>
              <w:t>实施单位：</w:t>
            </w:r>
            <w:r>
              <w:rPr>
                <w:rFonts w:ascii="仿宋_GB2312" w:hAnsi="仿宋_GB2312" w:cs="仿宋_GB2312" w:eastAsia="仿宋_GB2312"/>
                <w:sz w:val="18"/>
              </w:rPr>
              <w:t>西安市周至县秦岭生态环境保护和综合执法局</w:t>
            </w:r>
          </w:p>
          <w:p>
            <w:pPr>
              <w:pStyle w:val="null3"/>
              <w:jc w:val="both"/>
            </w:pPr>
            <w:r>
              <w:rPr>
                <w:rFonts w:ascii="仿宋_GB2312" w:hAnsi="仿宋_GB2312" w:cs="仿宋_GB2312" w:eastAsia="仿宋_GB2312"/>
                <w:sz w:val="18"/>
              </w:rPr>
              <w:t>三、</w:t>
            </w:r>
            <w:r>
              <w:rPr>
                <w:rFonts w:ascii="仿宋_GB2312" w:hAnsi="仿宋_GB2312" w:cs="仿宋_GB2312" w:eastAsia="仿宋_GB2312"/>
                <w:sz w:val="18"/>
              </w:rPr>
              <w:t>主要实施内容：储备防火物资装备</w:t>
            </w:r>
            <w:r>
              <w:rPr>
                <w:rFonts w:ascii="仿宋_GB2312" w:hAnsi="仿宋_GB2312" w:cs="仿宋_GB2312" w:eastAsia="仿宋_GB2312"/>
                <w:sz w:val="18"/>
              </w:rPr>
              <w:t>2090件（个、套、台）。包括：2000个灭火简易背包，30台背负式风力灭火机，30台割灌机，30台油锯。</w:t>
            </w:r>
          </w:p>
          <w:p>
            <w:pPr>
              <w:pStyle w:val="null3"/>
              <w:jc w:val="both"/>
            </w:pPr>
            <w:r>
              <w:rPr>
                <w:rFonts w:ascii="仿宋_GB2312" w:hAnsi="仿宋_GB2312" w:cs="仿宋_GB2312" w:eastAsia="仿宋_GB2312"/>
                <w:sz w:val="18"/>
              </w:rPr>
              <w:t>四、</w:t>
            </w:r>
            <w:r>
              <w:rPr>
                <w:rFonts w:ascii="仿宋_GB2312" w:hAnsi="仿宋_GB2312" w:cs="仿宋_GB2312" w:eastAsia="仿宋_GB2312"/>
                <w:sz w:val="18"/>
              </w:rPr>
              <w:t>主要功能或目标：储备森林防火相关设备物资，保证扑火半专业队伍配备扑火设备够用、管用，提升林业主管部门森林火灾早期处置能力</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五、采购内容及参数要求：（标记</w:t>
            </w:r>
            <w:r>
              <w:rPr>
                <w:rFonts w:ascii="仿宋_GB2312" w:hAnsi="仿宋_GB2312" w:cs="仿宋_GB2312" w:eastAsia="仿宋_GB2312"/>
                <w:sz w:val="18"/>
              </w:rPr>
              <w:t>“★”为核心产品）</w:t>
            </w:r>
          </w:p>
          <w:tbl>
            <w:tblPr>
              <w:tblInd w:type="dxa" w:w="135"/>
              <w:tblBorders>
                <w:top w:val="none" w:color="000000" w:sz="4"/>
                <w:left w:val="none" w:color="000000" w:sz="4"/>
                <w:bottom w:val="none" w:color="000000" w:sz="4"/>
                <w:right w:val="none" w:color="000000" w:sz="4"/>
                <w:insideH w:val="none"/>
                <w:insideV w:val="none"/>
              </w:tblBorders>
            </w:tblPr>
            <w:tblGrid>
              <w:gridCol w:w="162"/>
              <w:gridCol w:w="577"/>
              <w:gridCol w:w="1099"/>
              <w:gridCol w:w="243"/>
              <w:gridCol w:w="230"/>
              <w:gridCol w:w="230"/>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采购内容</w:t>
                  </w:r>
                </w:p>
              </w:tc>
              <w:tc>
                <w:tcPr>
                  <w:tcW w:type="dxa" w:w="109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主要参数</w:t>
                  </w:r>
                </w:p>
              </w:tc>
              <w:tc>
                <w:tcPr>
                  <w:tcW w:type="dxa" w:w="24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23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c>
                <w:tcPr>
                  <w:tcW w:type="dxa" w:w="23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备注</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18"/>
                      <w:color w:val="000000"/>
                    </w:rPr>
                    <w:t>★背负式风力灭火机</w:t>
                  </w:r>
                </w:p>
              </w:tc>
              <w:tc>
                <w:tcPr>
                  <w:tcW w:type="dxa" w:w="10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功率：</w:t>
                  </w:r>
                  <w:r>
                    <w:rPr>
                      <w:rFonts w:ascii="仿宋_GB2312" w:hAnsi="仿宋_GB2312" w:cs="仿宋_GB2312" w:eastAsia="仿宋_GB2312"/>
                      <w:sz w:val="18"/>
                      <w:color w:val="000000"/>
                    </w:rPr>
                    <w:t>≥3.3KW/7000rpm</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排量：</w:t>
                  </w:r>
                  <w:r>
                    <w:rPr>
                      <w:rFonts w:ascii="仿宋_GB2312" w:hAnsi="仿宋_GB2312" w:cs="仿宋_GB2312" w:eastAsia="仿宋_GB2312"/>
                      <w:sz w:val="18"/>
                      <w:color w:val="000000"/>
                    </w:rPr>
                    <w:t>≥64.8cc</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风量：</w:t>
                  </w:r>
                  <w:r>
                    <w:rPr>
                      <w:rFonts w:ascii="仿宋_GB2312" w:hAnsi="仿宋_GB2312" w:cs="仿宋_GB2312" w:eastAsia="仿宋_GB2312"/>
                      <w:sz w:val="18"/>
                      <w:color w:val="000000"/>
                    </w:rPr>
                    <w:t>≥1584m³/h</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风速</w:t>
                  </w:r>
                  <w:r>
                    <w:rPr>
                      <w:rFonts w:ascii="仿宋_GB2312" w:hAnsi="仿宋_GB2312" w:cs="仿宋_GB2312" w:eastAsia="仿宋_GB2312"/>
                      <w:sz w:val="18"/>
                      <w:color w:val="000000"/>
                    </w:rPr>
                    <w:t>≥79.9m/s</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油箱</w:t>
                  </w:r>
                  <w:r>
                    <w:rPr>
                      <w:rFonts w:ascii="仿宋_GB2312" w:hAnsi="仿宋_GB2312" w:cs="仿宋_GB2312" w:eastAsia="仿宋_GB2312"/>
                      <w:sz w:val="18"/>
                      <w:color w:val="000000"/>
                    </w:rPr>
                    <w:t>≥1.9L</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发动机</w:t>
                  </w:r>
                  <w:r>
                    <w:rPr>
                      <w:rFonts w:ascii="仿宋_GB2312" w:hAnsi="仿宋_GB2312" w:cs="仿宋_GB2312" w:eastAsia="仿宋_GB2312"/>
                      <w:sz w:val="18"/>
                      <w:color w:val="000000"/>
                    </w:rPr>
                    <w:t>/冲程：单缸风冷</w:t>
                  </w:r>
                  <w:r>
                    <w:br/>
                  </w:r>
                  <w:r>
                    <w:rPr>
                      <w:rFonts w:ascii="仿宋_GB2312" w:hAnsi="仿宋_GB2312" w:cs="仿宋_GB2312" w:eastAsia="仿宋_GB2312"/>
                      <w:sz w:val="18"/>
                      <w:color w:val="000000"/>
                    </w:rPr>
                    <w:t>7、</w:t>
                  </w:r>
                  <w:r>
                    <w:rPr>
                      <w:rFonts w:ascii="仿宋_GB2312" w:hAnsi="仿宋_GB2312" w:cs="仿宋_GB2312" w:eastAsia="仿宋_GB2312"/>
                      <w:sz w:val="18"/>
                      <w:color w:val="000000"/>
                    </w:rPr>
                    <w:t>额定转速：</w:t>
                  </w:r>
                  <w:r>
                    <w:rPr>
                      <w:rFonts w:ascii="仿宋_GB2312" w:hAnsi="仿宋_GB2312" w:cs="仿宋_GB2312" w:eastAsia="仿宋_GB2312"/>
                      <w:sz w:val="18"/>
                      <w:color w:val="000000"/>
                    </w:rPr>
                    <w:t>≥7000r/min</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核</w:t>
                  </w:r>
                </w:p>
                <w:p>
                  <w:pPr>
                    <w:pStyle w:val="null3"/>
                    <w:jc w:val="center"/>
                  </w:pPr>
                  <w:r>
                    <w:rPr>
                      <w:rFonts w:ascii="仿宋_GB2312" w:hAnsi="仿宋_GB2312" w:cs="仿宋_GB2312" w:eastAsia="仿宋_GB2312"/>
                      <w:sz w:val="18"/>
                      <w:color w:val="000000"/>
                    </w:rPr>
                    <w:t>心</w:t>
                  </w:r>
                </w:p>
                <w:p>
                  <w:pPr>
                    <w:pStyle w:val="null3"/>
                    <w:jc w:val="center"/>
                  </w:pPr>
                  <w:r>
                    <w:rPr>
                      <w:rFonts w:ascii="仿宋_GB2312" w:hAnsi="仿宋_GB2312" w:cs="仿宋_GB2312" w:eastAsia="仿宋_GB2312"/>
                      <w:sz w:val="18"/>
                      <w:color w:val="000000"/>
                    </w:rPr>
                    <w:t>产</w:t>
                  </w:r>
                </w:p>
                <w:p>
                  <w:pPr>
                    <w:pStyle w:val="null3"/>
                    <w:jc w:val="center"/>
                  </w:pPr>
                  <w:r>
                    <w:rPr>
                      <w:rFonts w:ascii="仿宋_GB2312" w:hAnsi="仿宋_GB2312" w:cs="仿宋_GB2312" w:eastAsia="仿宋_GB2312"/>
                      <w:sz w:val="18"/>
                      <w:color w:val="000000"/>
                    </w:rPr>
                    <w:t>品</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割灌机</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功率：</w:t>
                  </w:r>
                  <w:r>
                    <w:rPr>
                      <w:rFonts w:ascii="仿宋_GB2312" w:hAnsi="仿宋_GB2312" w:cs="仿宋_GB2312" w:eastAsia="仿宋_GB2312"/>
                      <w:sz w:val="18"/>
                      <w:color w:val="000000"/>
                    </w:rPr>
                    <w:t>≥1.25KW/7000rpm</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排量：</w:t>
                  </w:r>
                  <w:r>
                    <w:rPr>
                      <w:rFonts w:ascii="仿宋_GB2312" w:hAnsi="仿宋_GB2312" w:cs="仿宋_GB2312" w:eastAsia="仿宋_GB2312"/>
                      <w:sz w:val="18"/>
                      <w:color w:val="000000"/>
                    </w:rPr>
                    <w:t>≥42.7cc</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油箱</w:t>
                  </w:r>
                  <w:r>
                    <w:rPr>
                      <w:rFonts w:ascii="仿宋_GB2312" w:hAnsi="仿宋_GB2312" w:cs="仿宋_GB2312" w:eastAsia="仿宋_GB2312"/>
                      <w:sz w:val="18"/>
                      <w:color w:val="000000"/>
                    </w:rPr>
                    <w:t>≥0.9L</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发动机</w:t>
                  </w:r>
                  <w:r>
                    <w:rPr>
                      <w:rFonts w:ascii="仿宋_GB2312" w:hAnsi="仿宋_GB2312" w:cs="仿宋_GB2312" w:eastAsia="仿宋_GB2312"/>
                      <w:sz w:val="18"/>
                      <w:color w:val="000000"/>
                    </w:rPr>
                    <w:t>/冲程：单缸风冷</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重量：</w:t>
                  </w:r>
                  <w:r>
                    <w:rPr>
                      <w:rFonts w:ascii="仿宋_GB2312" w:hAnsi="仿宋_GB2312" w:cs="仿宋_GB2312" w:eastAsia="仿宋_GB2312"/>
                      <w:sz w:val="18"/>
                      <w:color w:val="000000"/>
                    </w:rPr>
                    <w:t>≥7.4kg</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操作方式：侧挂式</w:t>
                  </w:r>
                  <w:r>
                    <w:rPr>
                      <w:rFonts w:ascii="仿宋_GB2312" w:hAnsi="仿宋_GB2312" w:cs="仿宋_GB2312" w:eastAsia="仿宋_GB2312"/>
                      <w:sz w:val="18"/>
                      <w:color w:val="000000"/>
                    </w:rPr>
                    <w:t>/背负式</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油锯</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排量：</w:t>
                  </w:r>
                  <w:r>
                    <w:rPr>
                      <w:rFonts w:ascii="仿宋_GB2312" w:hAnsi="仿宋_GB2312" w:cs="仿宋_GB2312" w:eastAsia="仿宋_GB2312"/>
                      <w:sz w:val="18"/>
                      <w:color w:val="000000"/>
                    </w:rPr>
                    <w:t>≥52cc</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功率：</w:t>
                  </w:r>
                  <w:r>
                    <w:rPr>
                      <w:rFonts w:ascii="仿宋_GB2312" w:hAnsi="仿宋_GB2312" w:cs="仿宋_GB2312" w:eastAsia="仿宋_GB2312"/>
                      <w:sz w:val="18"/>
                      <w:color w:val="000000"/>
                    </w:rPr>
                    <w:t>≥2.4KW</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油箱：</w:t>
                  </w:r>
                  <w:r>
                    <w:rPr>
                      <w:rFonts w:ascii="仿宋_GB2312" w:hAnsi="仿宋_GB2312" w:cs="仿宋_GB2312" w:eastAsia="仿宋_GB2312"/>
                      <w:sz w:val="18"/>
                      <w:color w:val="000000"/>
                    </w:rPr>
                    <w:t>≤1.2L</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重量：</w:t>
                  </w:r>
                  <w:r>
                    <w:rPr>
                      <w:rFonts w:ascii="仿宋_GB2312" w:hAnsi="仿宋_GB2312" w:cs="仿宋_GB2312" w:eastAsia="仿宋_GB2312"/>
                      <w:sz w:val="18"/>
                      <w:color w:val="000000"/>
                    </w:rPr>
                    <w:t>≤6.7kg</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导板：</w:t>
                  </w:r>
                  <w:r>
                    <w:rPr>
                      <w:rFonts w:ascii="仿宋_GB2312" w:hAnsi="仿宋_GB2312" w:cs="仿宋_GB2312" w:eastAsia="仿宋_GB2312"/>
                      <w:sz w:val="18"/>
                      <w:color w:val="000000"/>
                    </w:rPr>
                    <w:t>≥18寸</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冲程：二冲程</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灭火简易背包</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容积：</w:t>
                  </w:r>
                  <w:r>
                    <w:rPr>
                      <w:rFonts w:ascii="仿宋_GB2312" w:hAnsi="仿宋_GB2312" w:cs="仿宋_GB2312" w:eastAsia="仿宋_GB2312"/>
                      <w:sz w:val="18"/>
                      <w:color w:val="000000"/>
                    </w:rPr>
                    <w:t>≤30L，</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≤50×30×28cm，</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材质：牛津布防撕裂</w:t>
                  </w:r>
                  <w:r>
                    <w:rPr>
                      <w:rFonts w:ascii="仿宋_GB2312" w:hAnsi="仿宋_GB2312" w:cs="仿宋_GB2312" w:eastAsia="仿宋_GB2312"/>
                      <w:sz w:val="18"/>
                      <w:color w:val="000000"/>
                    </w:rPr>
                    <w:t>/PU涂层</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重量：</w:t>
                  </w:r>
                  <w:r>
                    <w:rPr>
                      <w:rFonts w:ascii="仿宋_GB2312" w:hAnsi="仿宋_GB2312" w:cs="仿宋_GB2312" w:eastAsia="仿宋_GB2312"/>
                      <w:sz w:val="18"/>
                      <w:color w:val="000000"/>
                    </w:rPr>
                    <w:t>≥1.2kg</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2000</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进度款，全部货物到达采购人指定地点，并经验收合格后 ，达到付款条件起10个工作日内，支付合同总金额的70.0%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符合国家及行业相关标准、规范要求。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以合同内容为准。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（1）提供合格有效的法人或者其他组织的营业执照等证明文件；供应商是法人或其他组织的应提供营业执照等证明文件，供应商是自然人的应提供有效的自然人身份证明； （2）税收缴纳证明：供应商需提供开标截至日期前6个月内任意一个月的完税凭证或税务机关开具的完税证明任意税种；依法免税的应提供相关文件证明； （3）社会保障资金缴纳证明：供应商需提供开标截止日期前6个月内任意一个月的社会保障资金缴存单据或社保机构开具的社会保险参保缴费情况证明；依法不需要缴纳社会保障资金的应提供相关文件证明； （4）参加政府采购活动前三年内在经营活动中没有重大违纪的书面声明（须加盖单位红色公章）； （5）提供供应商具备履行合同所必需的设备和专业技术能力的证明；供应商需在项目电子化交易系统中按要求填写《投标函》完成承诺并进行电子签章。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法定代表人资格证明 资格证明文件 法定代表人授权委托书 响应函 投标人认为需要提供的其它资料 书面承诺</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报告（成立时间至开标时间不足一年的可提供成立后任意时段的资产负债表和利润表）或开标前六个月内其基本账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 投标人认为需要提供的其它资料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参与的供应商必须为中小型企业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供应商授权</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法定代表人资格证明 资格证明文件 法定代表人授权委托书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 响应函 投标人认为需要提供的其它资料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响应文件封面 分项报价表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按磋商文件要求签字，需盖章处按磋商文件要求盖章。</w:t>
            </w:r>
          </w:p>
        </w:tc>
        <w:tc>
          <w:tcPr>
            <w:tcW w:type="dxa" w:w="1661"/>
          </w:tcPr>
          <w:p>
            <w:pPr>
              <w:pStyle w:val="null3"/>
            </w:pPr>
            <w:r>
              <w:rPr>
                <w:rFonts w:ascii="仿宋_GB2312" w:hAnsi="仿宋_GB2312" w:cs="仿宋_GB2312" w:eastAsia="仿宋_GB2312"/>
              </w:rPr>
              <w:t>法定代表人授权委托书 分项报价表 中小企业声明函 商务应答表 报价表 投标人认为需要提供的其它资料 业绩一览表 响应文件封面 法定代表人资格证明 资格证明文件 产品技术参数表 项目实施总体方案 残疾人福利性单位声明函 标的清单 响应函 监狱企业的证明文件 书面承诺</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法定代表人授权委托书 分项报价表 中小企业声明函 商务应答表 报价表 投标人认为需要提供的其它资料 业绩一览表 响应文件封面 法定代表人资格证明 资格证明文件 产品技术参数表 项目实施总体方案 残疾人福利性单位声明函 标的清单 响应函 监狱企业的证明文件 书面承诺</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法定代表人授权委托书 分项报价表 中小企业声明函 商务应答表 报价表 投标人认为需要提供的其它资料 业绩一览表 响应文件封面 法定代表人资格证明 资格证明文件 产品技术参数表 项目实施总体方案 残疾人福利性单位声明函 标的清单 响应函 监狱企业的证明文件 书面承诺</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针对本项目提供具体可行的服务方案，包括但不限于①详细的服务计划；②具有完善供货组织安排、财力调配；③货物包装及运输、配送措施。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上述3项评审内容全部满足评审标准得9分，每有一个评审内容缺项扣3分，每项评审内容存在一处缺陷，扣0.5分，多处缺陷累计扣分，本项扣完为止。 说明：缺陷是指以下任意一种情形: ①文字、符号、数据述存在错误、疏漏或不严谨； ②方案内容不完整、逻辑不通顺、内容前后矛盾； ③出现与本项目采购内容无关的内容、无关场景的，与本项目采购需求要求不一致的； ④ 照搬、套用通用模版或其他项目方案， 简单复制粘贴采购需求原文，未结合项目作出实质性、针对性阐述。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项目实施总体方案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完整、具体可行的售后服务方案及承诺，包括但不限于①售后服务方案及承诺；②具有建全的售后服务机构、配备专职售后人员保障措施；③售后服务响应时限、上门服务及问题处置措施；④备品、备件储备、供应及更换保障计划；⑤使用过程中，突发故障、突发险情的应急处置措施。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上述5项评审内容全部满足评审标准得5分，每有一项评审内容缺项扣1分，每项评审内容存在一处缺陷，扣0.25分，多处缺陷累计扣分，扣完为止。 说明：缺陷是指以下任意一种情形: ①文字、符号、数据述存在错误、疏漏或不严谨； ②方案内容不完整、逻辑不通顺、内容前后矛盾； ③出现与本项目采购内容无关的内容、无关场景的，与本项目采购需求要求不一致的； ④ 照搬、套用通用模版或其他项目方案， 简单复制粘贴采购需求原文，未结合项目作出实质性、针对性阐述。</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项目实施总体方案</w:t>
            </w:r>
          </w:p>
        </w:tc>
      </w:tr>
      <w:tr>
        <w:tc>
          <w:tcPr>
            <w:tcW w:type="dxa" w:w="831"/>
            <w:vMerge/>
          </w:tcPr>
          <w:p/>
        </w:tc>
        <w:tc>
          <w:tcPr>
            <w:tcW w:type="dxa" w:w="1661"/>
          </w:tcPr>
          <w:p>
            <w:pPr>
              <w:pStyle w:val="null3"/>
            </w:pPr>
            <w:r>
              <w:rPr>
                <w:rFonts w:ascii="仿宋_GB2312" w:hAnsi="仿宋_GB2312" w:cs="仿宋_GB2312" w:eastAsia="仿宋_GB2312"/>
              </w:rPr>
              <w:t>质量及安全保证措施及承诺</w:t>
            </w:r>
          </w:p>
        </w:tc>
        <w:tc>
          <w:tcPr>
            <w:tcW w:type="dxa" w:w="2492"/>
          </w:tcPr>
          <w:p>
            <w:pPr>
              <w:pStyle w:val="null3"/>
            </w:pPr>
            <w:r>
              <w:rPr>
                <w:rFonts w:ascii="仿宋_GB2312" w:hAnsi="仿宋_GB2312" w:cs="仿宋_GB2312" w:eastAsia="仿宋_GB2312"/>
              </w:rPr>
              <w:t>一、评审内容 针对本项目提供具体可行的质量及安全保证措施及承诺，包括但不限于①质量保证体系、质量管控措施及质量保障承诺； ②项目供货、交付、运输、验收全过程安全保证措施及承诺。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上述2项评审内容全部满足评审标准得6分，每有一个评审内容缺项扣3分，每项评审内容存在一处缺陷，扣0.5分，多处缺陷累计扣分 ，扣完为止。 说明：缺陷是指以下任意一种情形: ①文字、符号、数据述存在错误、疏漏或不严谨； ②方案内容不完整、逻辑不通顺、内容前后矛盾； ③出现与本项目采购内容无关的内容、无关场景的，与本项目采购需求要求不一致的； ④ 照搬、套用通用模版或其他项目方案， 简单复制粘贴采购需求原文，未结合项目作出实质性、针对性阐述。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项目实施总体方案</w:t>
            </w:r>
          </w:p>
        </w:tc>
      </w:tr>
      <w:tr>
        <w:tc>
          <w:tcPr>
            <w:tcW w:type="dxa" w:w="831"/>
            <w:vMerge/>
          </w:tcPr>
          <w:p/>
        </w:tc>
        <w:tc>
          <w:tcPr>
            <w:tcW w:type="dxa" w:w="1661"/>
          </w:tcPr>
          <w:p>
            <w:pPr>
              <w:pStyle w:val="null3"/>
            </w:pPr>
            <w:r>
              <w:rPr>
                <w:rFonts w:ascii="仿宋_GB2312" w:hAnsi="仿宋_GB2312" w:cs="仿宋_GB2312" w:eastAsia="仿宋_GB2312"/>
              </w:rPr>
              <w:t>技术参数及性能指标</w:t>
            </w:r>
          </w:p>
        </w:tc>
        <w:tc>
          <w:tcPr>
            <w:tcW w:type="dxa" w:w="2492"/>
          </w:tcPr>
          <w:p>
            <w:pPr>
              <w:pStyle w:val="null3"/>
            </w:pPr>
            <w:r>
              <w:rPr>
                <w:rFonts w:ascii="仿宋_GB2312" w:hAnsi="仿宋_GB2312" w:cs="仿宋_GB2312" w:eastAsia="仿宋_GB2312"/>
              </w:rPr>
              <w:t>本项满分23分，技术参数全部满足磋商文件技术参数要求得23分。 每项参数不满足扣 1分，扣完为止。 注：所有参数需提供配套有效佐证材料（佐证材料包括但不限于检验报告、合格证、技术说明书、官网截图等）；单条参数无佐证材料或佐证材料无法印证磋商文件技术参数要求的，视为该项参数不满足，扣除对应分值。</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投标人认为需要提供的其它资料</w:t>
            </w:r>
          </w:p>
          <w:p>
            <w:pPr>
              <w:pStyle w:val="null3"/>
            </w:pPr>
            <w:r>
              <w:rPr>
                <w:rFonts w:ascii="仿宋_GB2312" w:hAnsi="仿宋_GB2312" w:cs="仿宋_GB2312" w:eastAsia="仿宋_GB2312"/>
              </w:rPr>
              <w:t>项目实施总体方案</w:t>
            </w:r>
          </w:p>
        </w:tc>
      </w:tr>
      <w:tr>
        <w:tc>
          <w:tcPr>
            <w:tcW w:type="dxa" w:w="831"/>
            <w:vMerge/>
          </w:tcPr>
          <w:p/>
        </w:tc>
        <w:tc>
          <w:tcPr>
            <w:tcW w:type="dxa" w:w="1661"/>
          </w:tcPr>
          <w:p>
            <w:pPr>
              <w:pStyle w:val="null3"/>
            </w:pPr>
            <w:r>
              <w:rPr>
                <w:rFonts w:ascii="仿宋_GB2312" w:hAnsi="仿宋_GB2312" w:cs="仿宋_GB2312" w:eastAsia="仿宋_GB2312"/>
              </w:rPr>
              <w:t>项目实施团队配置</w:t>
            </w:r>
          </w:p>
        </w:tc>
        <w:tc>
          <w:tcPr>
            <w:tcW w:type="dxa" w:w="2492"/>
          </w:tcPr>
          <w:p>
            <w:pPr>
              <w:pStyle w:val="null3"/>
            </w:pPr>
            <w:r>
              <w:rPr>
                <w:rFonts w:ascii="仿宋_GB2312" w:hAnsi="仿宋_GB2312" w:cs="仿宋_GB2312" w:eastAsia="仿宋_GB2312"/>
              </w:rPr>
              <w:t>本项满分6分，依据响应文件中本项目专项配置人员资料评审。 1、配置项目负责人，得2分； 2、配置供货协调人员，得2分； 3、配置售后技术人员，得2分； 缺对应岗位人员则扣除对应分值。 注：以上所有岗位人员须提供联系电话及本单位有效劳动合同，缺少任一项材料，对应岗位不予得分。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项目实施总体方案</w:t>
            </w:r>
          </w:p>
          <w:p>
            <w:pPr>
              <w:pStyle w:val="null3"/>
            </w:pPr>
            <w:r>
              <w:rPr>
                <w:rFonts w:ascii="仿宋_GB2312" w:hAnsi="仿宋_GB2312" w:cs="仿宋_GB2312" w:eastAsia="仿宋_GB2312"/>
              </w:rPr>
              <w:t>投标人认为需要提供的其它资料</w:t>
            </w:r>
          </w:p>
        </w:tc>
      </w:tr>
      <w:tr>
        <w:tc>
          <w:tcPr>
            <w:tcW w:type="dxa" w:w="831"/>
            <w:vMerge/>
          </w:tcPr>
          <w:p/>
        </w:tc>
        <w:tc>
          <w:tcPr>
            <w:tcW w:type="dxa" w:w="1661"/>
          </w:tcPr>
          <w:p>
            <w:pPr>
              <w:pStyle w:val="null3"/>
            </w:pPr>
            <w:r>
              <w:rPr>
                <w:rFonts w:ascii="仿宋_GB2312" w:hAnsi="仿宋_GB2312" w:cs="仿宋_GB2312" w:eastAsia="仿宋_GB2312"/>
              </w:rPr>
              <w:t>培训及交付配套资料完备性</w:t>
            </w:r>
          </w:p>
        </w:tc>
        <w:tc>
          <w:tcPr>
            <w:tcW w:type="dxa" w:w="2492"/>
          </w:tcPr>
          <w:p>
            <w:pPr>
              <w:pStyle w:val="null3"/>
            </w:pPr>
            <w:r>
              <w:rPr>
                <w:rFonts w:ascii="仿宋_GB2312" w:hAnsi="仿宋_GB2312" w:cs="仿宋_GB2312" w:eastAsia="仿宋_GB2312"/>
              </w:rPr>
              <w:t>响应文件须提供针对本项目机具（背负式风力灭火机、油锯、割灌机）所必须的各项配套材料: 1、提供森林防火野外作业专项培训大纲(含实操、安全、故障处置)得2分; 2、提供设备原厂操作手册得2分; 3、提供林区高强度作业维护保养手册得2分; 合计满分6分，每缺一项扣对应分值，不提供不得分。 注：所提供资料必须包含以上三项机具全部资料，缺少任意一项机具资料，所对应项不予得分。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项目实施总体方案</w:t>
            </w:r>
          </w:p>
          <w:p>
            <w:pPr>
              <w:pStyle w:val="null3"/>
            </w:pPr>
            <w:r>
              <w:rPr>
                <w:rFonts w:ascii="仿宋_GB2312" w:hAnsi="仿宋_GB2312" w:cs="仿宋_GB2312" w:eastAsia="仿宋_GB2312"/>
              </w:rPr>
              <w:t>投标人认为需要提供的其它资料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2023年01月01 至今（以合同签订时间为准）类似项目业绩合同；每提供一份符合要求业绩合同得 3 分，满分 15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满足磋商文件要求且最终报价最低的供应商的价格为磋商基准价，其价格得分为满分。其他磋商单位的价格分统一按照下列公式计算：价格分=（评审基准价/最终报价）×30％×100。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详见附件：法定代表人资格证明</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详见附件：项目实施总体方案</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详见附件：业绩一览表</w:t>
      </w:r>
    </w:p>
    <w:p>
      <w:pPr>
        <w:pStyle w:val="null3"/>
        <w:ind w:firstLine="960"/>
      </w:pPr>
      <w:r>
        <w:rPr>
          <w:rFonts w:ascii="仿宋_GB2312" w:hAnsi="仿宋_GB2312" w:cs="仿宋_GB2312" w:eastAsia="仿宋_GB2312"/>
        </w:rPr>
        <w:t>详见附件：书面承诺</w:t>
      </w:r>
    </w:p>
    <w:p>
      <w:pPr>
        <w:pStyle w:val="null3"/>
        <w:ind w:firstLine="960"/>
      </w:pPr>
      <w:r>
        <w:rPr>
          <w:rFonts w:ascii="仿宋_GB2312" w:hAnsi="仿宋_GB2312" w:cs="仿宋_GB2312" w:eastAsia="仿宋_GB2312"/>
        </w:rPr>
        <w:t>详见附件：投标人认为需要提供的其它资料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详见附件：货物合同.docx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