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版本号：XBZB-2026-04420260513001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普通干线公路养护工程前期技术咨询</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XBZB-2026-044</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普通干线公路养护工程前期技术咨询</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XBZB-2026-044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普通干线公路养护工程前期技术咨询</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按照《公路工程技术标准》《公路养护技术标准》等相关技术标准规范及部省规范性文件要求，完成2027年拟实施普通干线公路养护大中修、路面改造、危旧桥隧改造、灾害防治工程等项目的方案设计审查工作。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1、授权委托书：法定代表人(负责人)参与响应时，提供法定代表人(负责人)身份证明及本人身份证复印件加盖公章;授权代表参与响应时，提供企业法人授权委托书及被授权人身份证复印件加盖公章。</w:t>
      </w:r>
    </w:p>
    <w:p>
      <w:pPr>
        <w:pStyle w:val="null3"/>
      </w:pPr>
      <w:r>
        <w:rPr>
          <w:rFonts w:ascii="仿宋_GB2312" w:hAnsi="仿宋_GB2312" w:cs="仿宋_GB2312" w:eastAsia="仿宋_GB2312"/>
        </w:rPr>
        <w:t>2、企业资质：供应商须在“全国投资项目在线审批监管平台”网站(http://new.tzxm.gov.cn/(工程咨询单位名录)中进行备案，具备公路专业全过程工程咨询能力，以代理机构现场网站查询结果为准；</w:t>
      </w:r>
    </w:p>
    <w:p>
      <w:pPr>
        <w:pStyle w:val="null3"/>
      </w:pPr>
      <w:r>
        <w:rPr>
          <w:rFonts w:ascii="仿宋_GB2312" w:hAnsi="仿宋_GB2312" w:cs="仿宋_GB2312" w:eastAsia="仿宋_GB2312"/>
        </w:rPr>
        <w:t>3、信用记录：供应商未被“信用中国”网站列入失信被执行人和重大税收违法失信主体，未被中国政府采购网列入政府采购严重违法失信行为记录名单(以现场信用记录查询结果为准);</w:t>
      </w:r>
    </w:p>
    <w:p>
      <w:pPr>
        <w:pStyle w:val="null3"/>
      </w:pPr>
      <w:r>
        <w:rPr>
          <w:rFonts w:ascii="仿宋_GB2312" w:hAnsi="仿宋_GB2312" w:cs="仿宋_GB2312" w:eastAsia="仿宋_GB2312"/>
        </w:rPr>
        <w:t>4、控股管理关系：单位负责人为同一人或者存在控股、管理关系的不同供应商，不得同时参加本项目采购活动。</w:t>
      </w:r>
    </w:p>
    <w:p>
      <w:pPr>
        <w:pStyle w:val="null3"/>
      </w:pPr>
      <w:r>
        <w:rPr>
          <w:rFonts w:ascii="仿宋_GB2312" w:hAnsi="仿宋_GB2312" w:cs="仿宋_GB2312" w:eastAsia="仿宋_GB2312"/>
        </w:rPr>
        <w:t>5、不接受联合体磋商：供应商须提供《非联合体磋商声明》，视为独立参与磋商活动。</w:t>
      </w:r>
    </w:p>
    <w:p>
      <w:pPr>
        <w:pStyle w:val="null3"/>
      </w:pPr>
      <w:r>
        <w:rPr>
          <w:rFonts w:ascii="仿宋_GB2312" w:hAnsi="仿宋_GB2312" w:cs="仿宋_GB2312" w:eastAsia="仿宋_GB2312"/>
        </w:rPr>
        <w:t>6、不允许分包：供应商须提供《不分包磋商声明》，视为独立参与磋商活动。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029-88408464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陕西省西安市碑林区长安国际F座办公楼17层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薛佳平、王富敏、卫梦艺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029-85221302/18709196981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说明：合同签订前，乙方须向甲方缴纳合同总金额5%的履约保证金，履约保证金待乙方履行完毕全部合同义务，并经甲方履约验收合格，无任何纠纷后无息退还。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人后3日内，由成交人向招标代理机构一次付清招标代理服务费。磋商代理服务费的金额以成交金额作为收费的计算基数。磋商服务费参照国家标准的66%收取（国家计委计价格[2002]1980号和国家发改委[2003]857号文件的规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联系人：薛佳平、王富敏、卫梦艺</w:t>
      </w:r>
    </w:p>
    <w:p>
      <w:pPr>
        <w:pStyle w:val="null3"/>
      </w:pPr>
      <w:r>
        <w:rPr>
          <w:rFonts w:ascii="仿宋_GB2312" w:hAnsi="仿宋_GB2312" w:cs="仿宋_GB2312" w:eastAsia="仿宋_GB2312"/>
        </w:rPr>
        <w:t>联系电话：029-85221302/18709196981</w:t>
      </w:r>
    </w:p>
    <w:p>
      <w:pPr>
        <w:pStyle w:val="null3"/>
      </w:pPr>
      <w:r>
        <w:rPr>
          <w:rFonts w:ascii="仿宋_GB2312" w:hAnsi="仿宋_GB2312" w:cs="仿宋_GB2312" w:eastAsia="仿宋_GB2312"/>
        </w:rPr>
        <w:t>地址：陕西省西安市碑林区长安国际F座办公楼17层</w:t>
      </w:r>
    </w:p>
    <w:p>
      <w:pPr>
        <w:pStyle w:val="null3"/>
      </w:pPr>
      <w:r>
        <w:rPr>
          <w:rFonts w:ascii="仿宋_GB2312" w:hAnsi="仿宋_GB2312" w:cs="仿宋_GB2312" w:eastAsia="仿宋_GB2312"/>
        </w:rPr>
        <w:t>邮编：710002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按照《公路工程技术标准》《公路养护技术标准》等相关技术标准规范及部省规范性文件要求，完成2027年拟实施普通干线公路养护大中修、路面改造、危旧桥隧改造、灾害防治工程等项目的方案设计审查工作。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874,000.00</w:t>
      </w:r>
    </w:p>
    <w:p>
      <w:pPr>
        <w:pStyle w:val="null3"/>
      </w:pPr>
      <w:r>
        <w:rPr>
          <w:rFonts w:ascii="仿宋_GB2312" w:hAnsi="仿宋_GB2312" w:cs="仿宋_GB2312" w:eastAsia="仿宋_GB2312"/>
        </w:rPr>
        <w:t>采购包最高限价（元）: 874,000.00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普通干线公路养护工程前期技术咨询</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874,000.00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标的名称：普通干线公路养护工程前期技术咨询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一、总则</w:t>
            </w:r>
          </w:p>
          <w:p>
            <w:pPr>
              <w:pStyle w:val="null3"/>
            </w:pPr>
            <w:r>
              <w:rPr>
                <w:rFonts w:ascii="仿宋_GB2312" w:hAnsi="仿宋_GB2312" w:cs="仿宋_GB2312" w:eastAsia="仿宋_GB2312"/>
              </w:rPr>
              <w:t>1.方案设计审查工作应按照供应商对方案设计文件进行符合性审查、文件审查，组织现场审查，供应商提交咨询报告的程序进行。</w:t>
            </w:r>
          </w:p>
          <w:p>
            <w:pPr>
              <w:pStyle w:val="null3"/>
            </w:pPr>
            <w:r>
              <w:rPr>
                <w:rFonts w:ascii="仿宋_GB2312" w:hAnsi="仿宋_GB2312" w:cs="仿宋_GB2312" w:eastAsia="仿宋_GB2312"/>
              </w:rPr>
              <w:t>2.技术咨询过程中的文件交接、重大问题沟通实行痕迹管理，关键环节的文件提交、意见交流等，应通过签字、传真或邮件等方式加以确认。</w:t>
            </w:r>
          </w:p>
          <w:p>
            <w:pPr>
              <w:pStyle w:val="null3"/>
            </w:pPr>
            <w:r>
              <w:rPr>
                <w:rFonts w:ascii="仿宋_GB2312" w:hAnsi="仿宋_GB2312" w:cs="仿宋_GB2312" w:eastAsia="仿宋_GB2312"/>
              </w:rPr>
              <w:t>3.供应商应严格执行国家有关规定，不得转嫁咨询技术咨询工作成本。</w:t>
            </w:r>
          </w:p>
          <w:p>
            <w:pPr>
              <w:pStyle w:val="null3"/>
            </w:pPr>
            <w:r>
              <w:rPr>
                <w:rFonts w:ascii="仿宋_GB2312" w:hAnsi="仿宋_GB2312" w:cs="仿宋_GB2312" w:eastAsia="仿宋_GB2312"/>
              </w:rPr>
              <w:t>二、对供应商的总体要求</w:t>
            </w:r>
          </w:p>
          <w:p>
            <w:pPr>
              <w:pStyle w:val="null3"/>
            </w:pPr>
            <w:r>
              <w:rPr>
                <w:rFonts w:ascii="仿宋_GB2312" w:hAnsi="仿宋_GB2312" w:cs="仿宋_GB2312" w:eastAsia="仿宋_GB2312"/>
              </w:rPr>
              <w:t>1.承担技术咨询任务的供应商，应结合本单位管理模式和采购人技术咨询任务的要求，在企业内部明确相应的技术咨询部门,建立明确的采购人技术咨询任务内部管理模式，理顺工作关系，建立健全质量保证体系</w:t>
            </w:r>
            <w:r>
              <w:rPr>
                <w:rFonts w:ascii="仿宋_GB2312" w:hAnsi="仿宋_GB2312" w:cs="仿宋_GB2312" w:eastAsia="仿宋_GB2312"/>
              </w:rPr>
              <w:t>，制定科学专业的咨询审查标准</w:t>
            </w:r>
            <w:r>
              <w:rPr>
                <w:rFonts w:ascii="仿宋_GB2312" w:hAnsi="仿宋_GB2312" w:cs="仿宋_GB2312" w:eastAsia="仿宋_GB2312"/>
              </w:rPr>
              <w:t>，</w:t>
            </w:r>
            <w:r>
              <w:rPr>
                <w:rFonts w:ascii="仿宋_GB2312" w:hAnsi="仿宋_GB2312" w:cs="仿宋_GB2312" w:eastAsia="仿宋_GB2312"/>
              </w:rPr>
              <w:t>保证审查工作质量和进度。</w:t>
            </w:r>
          </w:p>
          <w:p>
            <w:pPr>
              <w:pStyle w:val="null3"/>
            </w:pPr>
            <w:r>
              <w:rPr>
                <w:rFonts w:ascii="仿宋_GB2312" w:hAnsi="仿宋_GB2312" w:cs="仿宋_GB2312" w:eastAsia="仿宋_GB2312"/>
              </w:rPr>
              <w:t>2.供应商应明确足够的、相对固定的技术人员，作为完成采购人技术咨询任务的基本力量。技术人员基本情况及变动情况在 招标后发生变化时，应及时报采购人备案。供应商应加强对参与采购人技术咨询任务技术人员（以下简称“审查人员”）的廉政、职业道德、法律知识和业务培训。</w:t>
            </w:r>
          </w:p>
          <w:p>
            <w:pPr>
              <w:pStyle w:val="null3"/>
            </w:pPr>
            <w:r>
              <w:rPr>
                <w:rFonts w:ascii="仿宋_GB2312" w:hAnsi="仿宋_GB2312" w:cs="仿宋_GB2312" w:eastAsia="仿宋_GB2312"/>
              </w:rPr>
              <w:t>3.审查人员应当遵守国家法律法规，坚持原则，恪守职业道德，客观公正，责任心强，专业素质高，掌握公路工程技术标准 、规范和有关技术政策，积极学习和了解国外先进的公路工程设计、施工和管理技术，能够熟练运用成熟技术和现代工程管 理理念。</w:t>
            </w:r>
          </w:p>
          <w:p>
            <w:pPr>
              <w:pStyle w:val="null3"/>
            </w:pPr>
            <w:r>
              <w:rPr>
                <w:rFonts w:ascii="仿宋_GB2312" w:hAnsi="仿宋_GB2312" w:cs="仿宋_GB2312" w:eastAsia="仿宋_GB2312"/>
              </w:rPr>
              <w:t>4.供应商不得参与其承担技术咨询服务项目的其他任何采购活动。</w:t>
            </w:r>
          </w:p>
          <w:p>
            <w:pPr>
              <w:pStyle w:val="null3"/>
            </w:pPr>
            <w:r>
              <w:rPr>
                <w:rFonts w:ascii="仿宋_GB2312" w:hAnsi="仿宋_GB2312" w:cs="仿宋_GB2312" w:eastAsia="仿宋_GB2312"/>
              </w:rPr>
              <w:t>三、符合性审查</w:t>
            </w:r>
          </w:p>
          <w:p>
            <w:pPr>
              <w:pStyle w:val="null3"/>
            </w:pPr>
            <w:r>
              <w:rPr>
                <w:rFonts w:ascii="仿宋_GB2312" w:hAnsi="仿宋_GB2312" w:cs="仿宋_GB2312" w:eastAsia="仿宋_GB2312"/>
              </w:rPr>
              <w:t>1.符合性审查的内容主要包括：</w:t>
            </w:r>
          </w:p>
          <w:p>
            <w:pPr>
              <w:pStyle w:val="null3"/>
            </w:pPr>
            <w:r>
              <w:rPr>
                <w:rFonts w:ascii="仿宋_GB2312" w:hAnsi="仿宋_GB2312" w:cs="仿宋_GB2312" w:eastAsia="仿宋_GB2312"/>
              </w:rPr>
              <w:t>（</w:t>
            </w:r>
            <w:r>
              <w:rPr>
                <w:rFonts w:ascii="仿宋_GB2312" w:hAnsi="仿宋_GB2312" w:cs="仿宋_GB2312" w:eastAsia="仿宋_GB2312"/>
              </w:rPr>
              <w:t>1）项目政策执行情况，土地、环评等项目前置审批是否已完成。</w:t>
            </w:r>
          </w:p>
          <w:p>
            <w:pPr>
              <w:pStyle w:val="null3"/>
            </w:pPr>
            <w:r>
              <w:rPr>
                <w:rFonts w:ascii="仿宋_GB2312" w:hAnsi="仿宋_GB2312" w:cs="仿宋_GB2312" w:eastAsia="仿宋_GB2312"/>
              </w:rPr>
              <w:t>（</w:t>
            </w:r>
            <w:r>
              <w:rPr>
                <w:rFonts w:ascii="仿宋_GB2312" w:hAnsi="仿宋_GB2312" w:cs="仿宋_GB2312" w:eastAsia="仿宋_GB2312"/>
              </w:rPr>
              <w:t>2）设计文件完整性是否满足相关要求。</w:t>
            </w:r>
          </w:p>
          <w:p>
            <w:pPr>
              <w:pStyle w:val="null3"/>
            </w:pPr>
            <w:r>
              <w:rPr>
                <w:rFonts w:ascii="仿宋_GB2312" w:hAnsi="仿宋_GB2312" w:cs="仿宋_GB2312" w:eastAsia="仿宋_GB2312"/>
              </w:rPr>
              <w:t>（</w:t>
            </w:r>
            <w:r>
              <w:rPr>
                <w:rFonts w:ascii="仿宋_GB2312" w:hAnsi="仿宋_GB2312" w:cs="仿宋_GB2312" w:eastAsia="仿宋_GB2312"/>
              </w:rPr>
              <w:t>3）建设规模、技术标准、概算等是否符合方案设计要求和《公路工程技术标准》的规定。</w:t>
            </w:r>
          </w:p>
          <w:p>
            <w:pPr>
              <w:pStyle w:val="null3"/>
            </w:pPr>
            <w:r>
              <w:rPr>
                <w:rFonts w:ascii="仿宋_GB2312" w:hAnsi="仿宋_GB2312" w:cs="仿宋_GB2312" w:eastAsia="仿宋_GB2312"/>
              </w:rPr>
              <w:t>（</w:t>
            </w:r>
            <w:r>
              <w:rPr>
                <w:rFonts w:ascii="仿宋_GB2312" w:hAnsi="仿宋_GB2312" w:cs="仿宋_GB2312" w:eastAsia="仿宋_GB2312"/>
              </w:rPr>
              <w:t>4）设计文件是否按照国家现行有关方针政策、法律、法规、标准及规范要求编制，是否满足先进、适用、安全、节能、 消防、环境、美观、经济的原则。</w:t>
            </w:r>
          </w:p>
          <w:p>
            <w:pPr>
              <w:pStyle w:val="null3"/>
            </w:pPr>
            <w:r>
              <w:rPr>
                <w:rFonts w:ascii="仿宋_GB2312" w:hAnsi="仿宋_GB2312" w:cs="仿宋_GB2312" w:eastAsia="仿宋_GB2312"/>
              </w:rPr>
              <w:t>四、设计文件审查</w:t>
            </w:r>
          </w:p>
          <w:p>
            <w:pPr>
              <w:pStyle w:val="null3"/>
            </w:pPr>
            <w:r>
              <w:rPr>
                <w:rFonts w:ascii="仿宋_GB2312" w:hAnsi="仿宋_GB2312" w:cs="仿宋_GB2312" w:eastAsia="仿宋_GB2312"/>
              </w:rPr>
              <w:t>1.方案设计文件审查应按照“ 安全、耐久、节约、和谐” 的原则，围绕保证项目建设、运营安全，合理使用资金和资源，最大 限度的保护公众利益，使公路基础设施能够更好的为经济社会发展和出行需求服务这一目标，对方案合理性、运行安全性、 结构可靠性和投资控制情况进行审查。审查工作主要应包括但不限于以下内容：</w:t>
            </w:r>
          </w:p>
          <w:p>
            <w:pPr>
              <w:pStyle w:val="null3"/>
            </w:pPr>
            <w:r>
              <w:rPr>
                <w:rFonts w:ascii="仿宋_GB2312" w:hAnsi="仿宋_GB2312" w:cs="仿宋_GB2312" w:eastAsia="仿宋_GB2312"/>
              </w:rPr>
              <w:t>（</w:t>
            </w:r>
            <w:r>
              <w:rPr>
                <w:rFonts w:ascii="仿宋_GB2312" w:hAnsi="仿宋_GB2312" w:cs="仿宋_GB2312" w:eastAsia="仿宋_GB2312"/>
              </w:rPr>
              <w:t>1）总体设计原则和思路的合理性，与建设环境和公路功能的适应性。</w:t>
            </w:r>
          </w:p>
          <w:p>
            <w:pPr>
              <w:pStyle w:val="null3"/>
            </w:pPr>
            <w:r>
              <w:rPr>
                <w:rFonts w:ascii="仿宋_GB2312" w:hAnsi="仿宋_GB2312" w:cs="仿宋_GB2312" w:eastAsia="仿宋_GB2312"/>
              </w:rPr>
              <w:t>（</w:t>
            </w:r>
            <w:r>
              <w:rPr>
                <w:rFonts w:ascii="仿宋_GB2312" w:hAnsi="仿宋_GB2312" w:cs="仿宋_GB2312" w:eastAsia="仿宋_GB2312"/>
              </w:rPr>
              <w:t>2）设计依据的基本资料是否完整、准确、可靠。</w:t>
            </w:r>
          </w:p>
          <w:p>
            <w:pPr>
              <w:pStyle w:val="null3"/>
            </w:pPr>
            <w:r>
              <w:rPr>
                <w:rFonts w:ascii="仿宋_GB2312" w:hAnsi="仿宋_GB2312" w:cs="仿宋_GB2312" w:eastAsia="仿宋_GB2312"/>
              </w:rPr>
              <w:t>（</w:t>
            </w:r>
            <w:r>
              <w:rPr>
                <w:rFonts w:ascii="仿宋_GB2312" w:hAnsi="仿宋_GB2312" w:cs="仿宋_GB2312" w:eastAsia="仿宋_GB2312"/>
              </w:rPr>
              <w:t>3）方案比选的合理性和全面性，技术指标运用的合理性。</w:t>
            </w:r>
          </w:p>
          <w:p>
            <w:pPr>
              <w:pStyle w:val="null3"/>
            </w:pPr>
            <w:r>
              <w:rPr>
                <w:rFonts w:ascii="仿宋_GB2312" w:hAnsi="仿宋_GB2312" w:cs="仿宋_GB2312" w:eastAsia="仿宋_GB2312"/>
              </w:rPr>
              <w:t>（</w:t>
            </w:r>
            <w:r>
              <w:rPr>
                <w:rFonts w:ascii="仿宋_GB2312" w:hAnsi="仿宋_GB2312" w:cs="仿宋_GB2312" w:eastAsia="仿宋_GB2312"/>
              </w:rPr>
              <w:t>4）设计文件编制深度和格式，附件、协议等资料的齐全、完备情况。专业间设计的协调性，设计界面衔接情况，设计与</w:t>
            </w:r>
          </w:p>
          <w:p>
            <w:pPr>
              <w:pStyle w:val="null3"/>
            </w:pPr>
            <w:r>
              <w:rPr>
                <w:rFonts w:ascii="仿宋_GB2312" w:hAnsi="仿宋_GB2312" w:cs="仿宋_GB2312" w:eastAsia="仿宋_GB2312"/>
              </w:rPr>
              <w:t>外业勘察成果的衔接情况。</w:t>
            </w:r>
          </w:p>
          <w:p>
            <w:pPr>
              <w:pStyle w:val="null3"/>
            </w:pPr>
            <w:r>
              <w:rPr>
                <w:rFonts w:ascii="仿宋_GB2312" w:hAnsi="仿宋_GB2312" w:cs="仿宋_GB2312" w:eastAsia="仿宋_GB2312"/>
              </w:rPr>
              <w:t>（</w:t>
            </w:r>
            <w:r>
              <w:rPr>
                <w:rFonts w:ascii="仿宋_GB2312" w:hAnsi="仿宋_GB2312" w:cs="仿宋_GB2312" w:eastAsia="仿宋_GB2312"/>
              </w:rPr>
              <w:t>5）结构安全、耐久性。</w:t>
            </w:r>
          </w:p>
          <w:p>
            <w:pPr>
              <w:pStyle w:val="null3"/>
            </w:pPr>
            <w:r>
              <w:rPr>
                <w:rFonts w:ascii="仿宋_GB2312" w:hAnsi="仿宋_GB2312" w:cs="仿宋_GB2312" w:eastAsia="仿宋_GB2312"/>
              </w:rPr>
              <w:t>（</w:t>
            </w:r>
            <w:r>
              <w:rPr>
                <w:rFonts w:ascii="仿宋_GB2312" w:hAnsi="仿宋_GB2312" w:cs="仿宋_GB2312" w:eastAsia="仿宋_GB2312"/>
              </w:rPr>
              <w:t>6）概算定额套用、人工和材料单价以及费率取值的合理性，征地拆迁等工程建设其他费用取费依据的完备性和取费合理 性。</w:t>
            </w:r>
          </w:p>
          <w:p>
            <w:pPr>
              <w:pStyle w:val="null3"/>
            </w:pPr>
            <w:r>
              <w:rPr>
                <w:rFonts w:ascii="仿宋_GB2312" w:hAnsi="仿宋_GB2312" w:cs="仿宋_GB2312" w:eastAsia="仿宋_GB2312"/>
              </w:rPr>
              <w:t>2.审查过程中发现设计文件存在以下问题的，应及时与设计单位沟通核实。问题确认后，应及时报采购人，并提出处理建议 。采购人将根据具体情况，要求设计单位补充完善，或退回要求重新修改后再次预审、报送。</w:t>
            </w:r>
          </w:p>
          <w:p>
            <w:pPr>
              <w:pStyle w:val="null3"/>
            </w:pPr>
            <w:r>
              <w:rPr>
                <w:rFonts w:ascii="仿宋_GB2312" w:hAnsi="仿宋_GB2312" w:cs="仿宋_GB2312" w:eastAsia="仿宋_GB2312"/>
              </w:rPr>
              <w:t>（</w:t>
            </w:r>
            <w:r>
              <w:rPr>
                <w:rFonts w:ascii="仿宋_GB2312" w:hAnsi="仿宋_GB2312" w:cs="仿宋_GB2312" w:eastAsia="仿宋_GB2312"/>
              </w:rPr>
              <w:t>1）总体设计不合理，与建设条件适应性差，或不能满足项目的功能要求；</w:t>
            </w:r>
          </w:p>
          <w:p>
            <w:pPr>
              <w:pStyle w:val="null3"/>
            </w:pPr>
            <w:r>
              <w:rPr>
                <w:rFonts w:ascii="仿宋_GB2312" w:hAnsi="仿宋_GB2312" w:cs="仿宋_GB2312" w:eastAsia="仿宋_GB2312"/>
              </w:rPr>
              <w:t>（</w:t>
            </w:r>
            <w:r>
              <w:rPr>
                <w:rFonts w:ascii="仿宋_GB2312" w:hAnsi="仿宋_GB2312" w:cs="仿宋_GB2312" w:eastAsia="仿宋_GB2312"/>
              </w:rPr>
              <w:t>2）方案比选不充分，遗漏重大有价值的技术方案；</w:t>
            </w:r>
          </w:p>
          <w:p>
            <w:pPr>
              <w:pStyle w:val="null3"/>
            </w:pPr>
            <w:r>
              <w:rPr>
                <w:rFonts w:ascii="仿宋_GB2312" w:hAnsi="仿宋_GB2312" w:cs="仿宋_GB2312" w:eastAsia="仿宋_GB2312"/>
              </w:rPr>
              <w:t>（</w:t>
            </w:r>
            <w:r>
              <w:rPr>
                <w:rFonts w:ascii="仿宋_GB2312" w:hAnsi="仿宋_GB2312" w:cs="仿宋_GB2312" w:eastAsia="仿宋_GB2312"/>
              </w:rPr>
              <w:t>3）设计工作与实际路况出现严重脱节；</w:t>
            </w:r>
          </w:p>
          <w:p>
            <w:pPr>
              <w:pStyle w:val="null3"/>
            </w:pPr>
            <w:r>
              <w:rPr>
                <w:rFonts w:ascii="仿宋_GB2312" w:hAnsi="仿宋_GB2312" w:cs="仿宋_GB2312" w:eastAsia="仿宋_GB2312"/>
              </w:rPr>
              <w:t>（</w:t>
            </w:r>
            <w:r>
              <w:rPr>
                <w:rFonts w:ascii="仿宋_GB2312" w:hAnsi="仿宋_GB2312" w:cs="仿宋_GB2312" w:eastAsia="仿宋_GB2312"/>
              </w:rPr>
              <w:t>4）设计文件编制质量差，错漏多。</w:t>
            </w:r>
          </w:p>
          <w:p>
            <w:pPr>
              <w:pStyle w:val="null3"/>
            </w:pPr>
            <w:r>
              <w:rPr>
                <w:rFonts w:ascii="仿宋_GB2312" w:hAnsi="仿宋_GB2312" w:cs="仿宋_GB2312" w:eastAsia="仿宋_GB2312"/>
              </w:rPr>
              <w:t>五、现场审查</w:t>
            </w:r>
          </w:p>
          <w:p>
            <w:pPr>
              <w:pStyle w:val="null3"/>
            </w:pPr>
            <w:r>
              <w:rPr>
                <w:rFonts w:ascii="仿宋_GB2312" w:hAnsi="仿宋_GB2312" w:cs="仿宋_GB2312" w:eastAsia="仿宋_GB2312"/>
              </w:rPr>
              <w:t>1.现场审查工作在设计文件审查完成后进行，由采购人主持。现场审查应听取设计单位的设计情况汇报，对重要工点和有争 议的工点进行现场踏查，现场完成审查意见。</w:t>
            </w:r>
          </w:p>
          <w:p>
            <w:pPr>
              <w:pStyle w:val="null3"/>
            </w:pPr>
            <w:r>
              <w:rPr>
                <w:rFonts w:ascii="仿宋_GB2312" w:hAnsi="仿宋_GB2312" w:cs="仿宋_GB2312" w:eastAsia="仿宋_GB2312"/>
              </w:rPr>
              <w:t>六、提交咨询报告</w:t>
            </w:r>
          </w:p>
          <w:p>
            <w:pPr>
              <w:pStyle w:val="null3"/>
            </w:pPr>
            <w:r>
              <w:rPr>
                <w:rFonts w:ascii="仿宋_GB2312" w:hAnsi="仿宋_GB2312" w:cs="仿宋_GB2312" w:eastAsia="仿宋_GB2312"/>
              </w:rPr>
              <w:t>1.咨询报告应结构清晰，内容精干，符合国家有关政策导向。能够清晰描述工程全貌，准确定性设计存在的问题，明确提出 对相关技术问题的意见。提出的建议应科学合理、论证清晰。报告格式符合采购人要求。</w:t>
            </w:r>
            <w:r>
              <w:rPr>
                <w:rFonts w:ascii="仿宋_GB2312" w:hAnsi="仿宋_GB2312" w:cs="仿宋_GB2312" w:eastAsia="仿宋_GB2312"/>
              </w:rPr>
              <w:t>单项咨询任务下达后，需</w:t>
            </w:r>
            <w:r>
              <w:rPr>
                <w:rFonts w:ascii="仿宋_GB2312" w:hAnsi="仿宋_GB2312" w:cs="仿宋_GB2312" w:eastAsia="仿宋_GB2312"/>
              </w:rPr>
              <w:t>15个工作日内出具正式咨询意见，供应商完成年度咨询任务并满足验收标准后，方可提交验收申请。</w:t>
            </w:r>
          </w:p>
          <w:p>
            <w:pPr>
              <w:pStyle w:val="null3"/>
            </w:pPr>
            <w:r>
              <w:rPr>
                <w:rFonts w:ascii="仿宋_GB2312" w:hAnsi="仿宋_GB2312" w:cs="仿宋_GB2312" w:eastAsia="仿宋_GB2312"/>
              </w:rPr>
              <w:t>2.咨询报告分两阶段提交，方案设计阶段提交方案设计咨询报告，施工图阶段提交施工图设计咨询报告。</w:t>
            </w:r>
          </w:p>
          <w:p>
            <w:pPr>
              <w:pStyle w:val="null3"/>
            </w:pPr>
            <w:r>
              <w:rPr>
                <w:rFonts w:ascii="仿宋_GB2312" w:hAnsi="仿宋_GB2312" w:cs="仿宋_GB2312" w:eastAsia="仿宋_GB2312"/>
              </w:rPr>
              <w:t>七、提交总结报告</w:t>
            </w:r>
          </w:p>
          <w:p>
            <w:pPr>
              <w:pStyle w:val="null3"/>
            </w:pPr>
            <w:r>
              <w:rPr>
                <w:rFonts w:ascii="仿宋_GB2312" w:hAnsi="仿宋_GB2312" w:cs="仿宋_GB2312" w:eastAsia="仿宋_GB2312"/>
              </w:rPr>
              <w:t>1.收到正式咨询报告后，采购人相关承办人应对咨询报告内容进行核查，对存在问题和不足的，应要求供应商予以补充和完善。</w:t>
            </w:r>
          </w:p>
          <w:p>
            <w:pPr>
              <w:pStyle w:val="null3"/>
            </w:pPr>
            <w:r>
              <w:rPr>
                <w:rFonts w:ascii="仿宋_GB2312" w:hAnsi="仿宋_GB2312" w:cs="仿宋_GB2312" w:eastAsia="仿宋_GB2312"/>
              </w:rPr>
              <w:t>2.采购人可以组织专家或通过后评价，对技术咨询报告的质量进行评价，对技术咨询的过程进行检查。</w:t>
            </w:r>
          </w:p>
          <w:p>
            <w:pPr>
              <w:pStyle w:val="null3"/>
            </w:pPr>
            <w:r>
              <w:rPr>
                <w:rFonts w:ascii="仿宋_GB2312" w:hAnsi="仿宋_GB2312" w:cs="仿宋_GB2312" w:eastAsia="仿宋_GB2312"/>
              </w:rPr>
              <w:t>3.咨询单位应从设计单位人员投入、设计质量、政策技术标准执行等方面，按优秀、良好、一般各占约30%比例，对设计单位进行评价排名，并提供书面意见。</w:t>
            </w:r>
          </w:p>
          <w:p>
            <w:pPr>
              <w:pStyle w:val="null3"/>
            </w:pPr>
            <w:r>
              <w:rPr>
                <w:rFonts w:ascii="仿宋_GB2312" w:hAnsi="仿宋_GB2312" w:cs="仿宋_GB2312" w:eastAsia="仿宋_GB2312"/>
                <w:sz w:val="21"/>
              </w:rPr>
              <w:t>4.总结报告内容包括但不限于项目概况、工程投资、设计质量评价、存在的问题、工作改进建议等内容。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保密：根据中华人民共和国民法典的有关规定，本项目的工作成果甲方拥有，未经甲方书面同意乙方不得给与本项目无关的第三方使用详见服务要求。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合同签订之日起一年。本项目在合同期满前，招标人将对成交供应商进行考核，根据服务满意程度，招标人有权决定是否续签合同，累计合同履行期限不超过3年。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完成合同约定的全部内容，并向采购人提交项目实施过程中的所有资料,以便采购人日后管理和维护该项目。各项成果资料满足国家现行的相关技术标准、规范、规程等以及我省公路养护管理相关规定。所提交的咨询报告能作为普通干线公路养护工程项目出具省级审查意见的依据。供应商完成年度咨询任务并满足验收标准后，方可提交验收申请。 2.采购人确认供应商能够达到合同约定要求后，组织供应商（必要时请有关专家）进行项目验收。供应商提交合同履约情况总结报告，并经采购人确认。验收合格后，填写项目验收单作为对项目的最终认可。 3.验收依据：①本合同及附件文本；②竞争性磋商文件、磋商响应文件、澄清表（函）；③国家相应的标准、规范。 4.乙方应按合同约定按期、足额完成全部约定工作量。经甲方最终验收确认乙方实际完成工作量，完成率≥95%的，视为乙方满足合同约定标准；75%≤完成率＜95%的，乙方应按合同总金额的5%向甲方返还对应款项；50%≤完成率＜75%的，乙方应按合同总金额的10%向甲方返还对应款项；完成率＜50%的，乙方应返还甲方合同总金额的20%。</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合同签订前，乙方须向甲方缴纳合同总金额5%的履约保证金，履约保证金待乙方履行完毕全部合同义务，并经甲方履约验收合格，无任何纠纷后无息退还。合同签订后，甲方收到履约保证金及增值税普通发票后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乙方提交项目年度咨询报告，且作为普通公路建养项目出具省级审查意见的依据</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4.乙方逾期完成服务的，每逾期一日，向甲方承担合同总金额 0.3%的违约金，逾期 30 日的，甲方有权单方解除本合同且保留追究乙方违约责任的权利，给甲方造成损失的，乙方还应予以赔偿。 5.乙方应保证其提交的服务成果不存在侵犯他人权益的情形，否则，因此引发的责任及纠纷由乙方承担，对甲方造成损失的，乙方应予以赔偿，此外，乙方还应向甲方承担合同总金额 20 %的违约金。 6.乙方应对其服务及服务成果的合法性、科学性、有效性、客观性、真实性负责，否则，相关责任及纠纷由乙方承担，对甲方造成损失的，乙方应予赔偿，此外，乙方还应向甲方承担合同总金额 10 %的违约金。 7.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 8.乙方未按合同约定或甲方要求提供服务的，每出现一次应承担合同总价款10%的违约金，出现2次以上的，甲方有权单方解除本合同，给甲方造成损失的，乙方还应予以赔偿。 9.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 10.解决争议的方法：在履行本合同的过程中发生争议，双方当事人经友好协商仍无法达成一致的，任何一方有权向甲方所在地具有管辖权的法院起诉。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1.质量保证： 保证技术指标先进、质量性能可靠，全面满足采购要求。各项成果资料满足国家现行的《公路工程技术标准》《公路养护技术标准》等相关技术标准、规范、规程以及我省公路养护管理相关规定。所提交的咨询报告能作为普通干线公路养护工程项目出具省级审查意见的依据。 2.符合国家有关规范要求。 响应文件满足竞争性磋商文件全部实质性要求，采用综合评分法，评标结果按评审后得分由高到低顺序排列；评审得分相同的，按照报价由低到高顺序排列；评审得分且最后报价相同的，按照技术指标优劣顺序推荐。 3.本项目一次招三年，一年一续。每年在合同期满前，甲方将对乙方进行考核，根据服务满意程度，甲方有权决定是否续签合同，累计合同履行期限不超过3年。 4.为顺利推进政府采购电子化交易平台试点应用工作，供应商需要在线提交所有通过电子化交易平台实施的政府采购项目的响应文件，同时，在开标截止时间后需线下提交纸质响应文件3份，纸质响应文件需胶装，密封递交。递交地址：陕西省西安市碑林区南关正街长安国际F座17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并按照资格证明文件中的格式提供承诺书。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或2025年度经审计财务会计报告（成立时间至提交响应文件截止时间不足一年的可提供成立后任意时段的资产负债表），或提交自磋商响应截止之日前3个月内银行出具的资信证明，或信用担保机构出具的投标担保函（以上三种形式的资料提供任何一种即可）；其他组织和自然人提供银行出具的资信证明或财务报表或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法定代表人(负责人)参与响应时，提供法定代表人(负责人)身份证明及本人身份证复印件加盖公章;授权代表参与响应时，提供企业法人授权委托书及被授权人身份证复印件加盖公章。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供应商须在“全国投资项目在线审批监管平台”网站(http://new.tzxm.gov.cn/(工程咨询单位名录)中进行备案，具备公路专业全过程工程咨询能力，以代理机构现场网站查询结果为准；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供应商未被“信用中国”网站列入失信被执行人和重大税收违法失信主体，未被中国政府采购网列入政府采购严重违法失信行为记录名单(以现场信用记录查询结果为准);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供应商须提供《非联合体磋商声明》，视为独立参与磋商活动。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不允许分包</w:t>
            </w:r>
          </w:p>
        </w:tc>
        <w:tc>
          <w:tcPr>
            <w:tcW w:type="dxa" w:w="3322"/>
          </w:tcPr>
          <w:p>
            <w:pPr>
              <w:pStyle w:val="null3"/>
            </w:pPr>
            <w:r>
              <w:rPr>
                <w:rFonts w:ascii="仿宋_GB2312" w:hAnsi="仿宋_GB2312" w:cs="仿宋_GB2312" w:eastAsia="仿宋_GB2312"/>
              </w:rPr>
              <w:t>供应商须提供《不分包磋商声明》，视为独立参与磋商活动。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低于采购预算45%或者低于其他有效供应商报价算术平均价50%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供应商需要说明的其他内容.docx 中小企业声明函 残疾人福利性单位声明函 标的清单 报价表 响应函 资格证明文件.docx 监狱企业的证明文件 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响应文件按磋商文件要求电子签章</w:t>
            </w:r>
          </w:p>
        </w:tc>
        <w:tc>
          <w:tcPr>
            <w:tcW w:type="dxa" w:w="3322"/>
          </w:tcPr>
          <w:p>
            <w:pPr>
              <w:pStyle w:val="null3"/>
            </w:pPr>
            <w:r>
              <w:rPr>
                <w:rFonts w:ascii="仿宋_GB2312" w:hAnsi="仿宋_GB2312" w:cs="仿宋_GB2312" w:eastAsia="仿宋_GB2312"/>
              </w:rPr>
              <w:t>供应商应按竞争性磋商文件要求对响应文件进行电子签章。</w:t>
            </w:r>
          </w:p>
        </w:tc>
        <w:tc>
          <w:tcPr>
            <w:tcW w:type="dxa" w:w="1661"/>
          </w:tcPr>
          <w:p>
            <w:pPr>
              <w:pStyle w:val="null3"/>
            </w:pPr>
            <w:r>
              <w:rPr>
                <w:rFonts w:ascii="仿宋_GB2312" w:hAnsi="仿宋_GB2312" w:cs="仿宋_GB2312" w:eastAsia="仿宋_GB2312"/>
              </w:rPr>
              <w:t>响应文件封面 供应商需要说明的其他内容.docx 中小企业声明函 残疾人福利性单位声明函 标的清单 报价表 响应函 资格证明文件.docx 监狱企业的证明文件 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供应商需要说明的其他内容.docx 中小企业声明函 残疾人福利性单位声明函 标的清单 报价表 响应函 资格证明文件.docx 监狱企业的证明文件 磋商服务方案.docx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不存在法律、法规和采购文件规定的其他无效磋商情形。</w:t>
            </w:r>
          </w:p>
        </w:tc>
        <w:tc>
          <w:tcPr>
            <w:tcW w:type="dxa" w:w="1661"/>
          </w:tcPr>
          <w:p>
            <w:pPr>
              <w:pStyle w:val="null3"/>
            </w:pPr>
            <w:r>
              <w:rPr>
                <w:rFonts w:ascii="仿宋_GB2312" w:hAnsi="仿宋_GB2312" w:cs="仿宋_GB2312" w:eastAsia="仿宋_GB2312"/>
              </w:rPr>
              <w:t>响应文件封面 供应商需要说明的其他内容.docx 中小企业声明函 残疾人福利性单位声明函 标的清单 报价表 响应函 资格证明文件.docx 监狱企业的证明文件 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对普通干线公路养护工程前期技术咨询工作的理解</w:t>
            </w:r>
          </w:p>
        </w:tc>
        <w:tc>
          <w:tcPr>
            <w:tcW w:type="dxa" w:w="2492"/>
          </w:tcPr>
          <w:p>
            <w:pPr>
              <w:pStyle w:val="null3"/>
            </w:pPr>
            <w:r>
              <w:rPr>
                <w:rFonts w:ascii="仿宋_GB2312" w:hAnsi="仿宋_GB2312" w:cs="仿宋_GB2312" w:eastAsia="仿宋_GB2312"/>
              </w:rPr>
              <w:t>一、评审内容 针对本项目详细列出对普通干线公路养护工程前期技术咨询工作的理解，内容包括：①项目背景介绍及部署；②咨询服务工作范围和内容；③咨询服务工作要求。 二、评审标准 1.完整性:内容须全面，对评审内容中的各项要求有详细描述及说明; 2.可实施性:切合本项目实际情况，实施步骤清晰、合理; 3.针对性:内容能够紧扣项目实际情况，内容科学合理。 三、赋分标准(满分9分) 1. 项目背景介绍及部署:每完全满足一个评审标准得1分；内容简单、每基本满足一个评审标准得0.5分；未提供不得分；满分3分; 2.咨询服务工作范围和内容:每完全满足一个评审标准得1分；内容简单、每基本满足一个评审标准得0.5分；未提供不得分；满分3分; 3.咨询服务工作要求:每完全满足一个评审标准得1分；内容简单、每基本满足一个评审标准得0.5分；未提供不得分；满分3分。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对本项目的总体思路、工作安排和各专业工程技术咨询特点的理解</w:t>
            </w:r>
          </w:p>
        </w:tc>
        <w:tc>
          <w:tcPr>
            <w:tcW w:type="dxa" w:w="2492"/>
          </w:tcPr>
          <w:p>
            <w:pPr>
              <w:pStyle w:val="null3"/>
            </w:pPr>
            <w:r>
              <w:rPr>
                <w:rFonts w:ascii="仿宋_GB2312" w:hAnsi="仿宋_GB2312" w:cs="仿宋_GB2312" w:eastAsia="仿宋_GB2312"/>
              </w:rPr>
              <w:t>一、评审内容 针对本项目详细列出总体思路、工作安排和各专业工程技术咨询特点的理解，内容包括：①总体思路；②工作流程及实施步骤；③对各专业工程技术咨询特点的理解。 二、评审标准 1.完整性:内容须全面，对评审内容中的各项要求有详细描述及说明; 2.可实施性:切合本项目实际情况，实施步骤清晰、合理; 3.针对性:内容能够紧扣项目实际情况，内容科学合理。 三、赋分标准(满分9分) 1.总体思路:每完全满足一个评审标准得1分；内容简单、每基本满足一个评审标准得0.5分；未提供不得分；满分3分; 2.工作流程及实施步骤:每完全满足一个评审标准得1分；内容简单、每基本满足一个评审标准得0.5分；未提供不得分；满分3分; 3.对各专业工程技术咨询特点的理解:每完全满足一个评审标准得1分；内容简单、每基本满足一个评审标准得0.5分；未提供不得分；满分3分。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对本项目的重难点分析、关键技术问题及对策措施</w:t>
            </w:r>
          </w:p>
        </w:tc>
        <w:tc>
          <w:tcPr>
            <w:tcW w:type="dxa" w:w="2492"/>
          </w:tcPr>
          <w:p>
            <w:pPr>
              <w:pStyle w:val="null3"/>
            </w:pPr>
            <w:r>
              <w:rPr>
                <w:rFonts w:ascii="仿宋_GB2312" w:hAnsi="仿宋_GB2312" w:cs="仿宋_GB2312" w:eastAsia="仿宋_GB2312"/>
              </w:rPr>
              <w:t>一、评审内容 针对本项目详细列出重难点分析、关键技术问题及对策措施，内容包括： ①重难点及关键技术问题分析；②相关对策措施；③合理化建议。 二、评审标准 1.完整性:内容须全面，对评审内容中的各项要求有详细描述及说明; 2.可实施性:切合本项目实际情况，实施步骤清晰、合理; 3.针对性:内容能够紧扣项目实际情况，内容科学合理。 三、赋分标准(满分9分) 1.重难点及关键技术问题分析:每完全满足一个评审标准得1分；内容简单、每基本满足一个评审标准得0.5分；未提供不得分；满分3分; 2.相关对策措施:每完全满足一个评审标准得1分；内容简单、每基本满足一个评审标准得0.5分；未提供不得分；满分3分; 3.合理化建议:每完全满足一个评审标准得1分；内容简单、每基本满足一个评审标准得0.5分；未提供不得分；满分3分。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拟投入本项目的技术咨询组织机构及人员配置方案</w:t>
            </w:r>
          </w:p>
        </w:tc>
        <w:tc>
          <w:tcPr>
            <w:tcW w:type="dxa" w:w="2492"/>
          </w:tcPr>
          <w:p>
            <w:pPr>
              <w:pStyle w:val="null3"/>
            </w:pPr>
            <w:r>
              <w:rPr>
                <w:rFonts w:ascii="仿宋_GB2312" w:hAnsi="仿宋_GB2312" w:cs="仿宋_GB2312" w:eastAsia="仿宋_GB2312"/>
              </w:rPr>
              <w:t>一、评审内容 针对本项目详细列出拟投入的技术咨询组织机构及人员配置方案，内容包括：①组织机构及岗位职责；②人员储备及从业经验；③组织安排计划。 二、评审标准 1.完整性:内容须全面，对评审内容中的各项要求有详细描述及说明; 2.可实施性:切合本项目实际情况，实施步骤清晰、合理; 3.针对性:内容能够紧扣项目实际情况，内容科学合理。 三、赋分标准(满分9分) 1.组织机构及岗位职责:每完全满足一个评审标准得1分；内容简单、每基本满足一个评审标准得0.5分；未提供不得分；满分3分; 2.人员储备及从业经验:每完全满足一个评审标准得1分；内容简单、每基本满足一个评审标准得0.5分；未提供不得分；满分3分; 注：从业经验需提供相关证明材料（包括但不限于成果文件、验收证明、合同等），证明材料需体现人员姓名，并加盖供应商公章，否则不得分。 3.组织安排计划:每完全满足一个评审标准得1分；内容简单、每基本满足一个评审标准得0.5分；未提供不得分；满分3分。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对本项目的进度及质量保证措施</w:t>
            </w:r>
          </w:p>
        </w:tc>
        <w:tc>
          <w:tcPr>
            <w:tcW w:type="dxa" w:w="2492"/>
          </w:tcPr>
          <w:p>
            <w:pPr>
              <w:pStyle w:val="null3"/>
            </w:pPr>
            <w:r>
              <w:rPr>
                <w:rFonts w:ascii="仿宋_GB2312" w:hAnsi="仿宋_GB2312" w:cs="仿宋_GB2312" w:eastAsia="仿宋_GB2312"/>
              </w:rPr>
              <w:t>一、评审内容 针对本项目详细列出进度及质量保证措施，内容包括：①进度保证措施；②质量保证措施；③后续服务及保障承诺 二、评审标准 1.完整性:内容须全面，对评审内容中的各项要求有详细描述及说明; 2.可实施性:切合本项目实际情况，实施步骤清晰、合理; 3.针对性:内容能够紧扣项目实际情况，内容科学合理。 三、赋分标准(满分9分) 1.进度保证措施:每完全满足一个评审标准得1分；内容简单、每基本满足一个评审标准得0.5分；未提供不得分；满分3分; 2.质量保证措施:每完全满足一个评审标准得1分；内容简单、每基本满足一个评审标准得0.5分；未提供不得分；满分3分; 3.后续服务及保障承诺:每完全满足一个评审标准得1分；内容简单、每基本满足一个评审标准得0.5分；未提供不得分；满分3分。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项目负责人资质与业绩</w:t>
            </w:r>
          </w:p>
        </w:tc>
        <w:tc>
          <w:tcPr>
            <w:tcW w:type="dxa" w:w="2492"/>
          </w:tcPr>
          <w:p>
            <w:pPr>
              <w:pStyle w:val="null3"/>
            </w:pPr>
            <w:r>
              <w:rPr>
                <w:rFonts w:ascii="仿宋_GB2312" w:hAnsi="仿宋_GB2312" w:cs="仿宋_GB2312" w:eastAsia="仿宋_GB2312"/>
              </w:rPr>
              <w:t>1.项目负责人具有公路工程相关专业高级工程师职称，得3 分；具有公路工程相关专业中级工程师职称，得2分； 赋分依据:提供项目负责人相对应的资格证书复印件及身份证、社保缴纳证明（2025年10月1日至响应文件提交截止之日前任意连续3个月的缴费证明）材料复印件并加盖供应商公章为计分依据，未提供或缺漏项则本项不得分。 2.项目负责人需提供2023年1月1日至今，具有10条普通干线公路（或高速公路）养护工程设计咨询/方案审查项目负责人业绩，得3分； 每增加1条干线公路建养工程设计或技术咨询的加0.5 分，最多加 4分。 赋分依据：须提供完整合同复印件及证明材料（包括但不限于成果文件、验收证明、合同等）需体现拟投入项目负责人姓名，并加盖供应商公章，否则不得分。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项目团队其他成员配置</w:t>
            </w:r>
          </w:p>
        </w:tc>
        <w:tc>
          <w:tcPr>
            <w:tcW w:type="dxa" w:w="2492"/>
          </w:tcPr>
          <w:p>
            <w:pPr>
              <w:pStyle w:val="null3"/>
            </w:pPr>
            <w:r>
              <w:rPr>
                <w:rFonts w:ascii="仿宋_GB2312" w:hAnsi="仿宋_GB2312" w:cs="仿宋_GB2312" w:eastAsia="仿宋_GB2312"/>
              </w:rPr>
              <w:t>1.拟投入团队除项目负责人外，具有公路工程相关专业中级及以上技术职称，每提供一个得2分，满分10分。 赋分依据：提供团队成员相对应的资格证书复印件及身份证、社保缴纳证明（2025年10月1日至响应文件提交截止之日前任意连续3个月的缴费证明）材料复印件并加盖供应商公章为计分依据，未提供或缺漏项则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企业类似项目业绩</w:t>
            </w:r>
          </w:p>
        </w:tc>
        <w:tc>
          <w:tcPr>
            <w:tcW w:type="dxa" w:w="2492"/>
          </w:tcPr>
          <w:p>
            <w:pPr>
              <w:pStyle w:val="null3"/>
            </w:pPr>
            <w:r>
              <w:rPr>
                <w:rFonts w:ascii="仿宋_GB2312" w:hAnsi="仿宋_GB2312" w:cs="仿宋_GB2312" w:eastAsia="仿宋_GB2312"/>
              </w:rPr>
              <w:t>提供2023年1月1日至响应文件递交截止前类似项目业绩(以合同签订日期为准)，有15条公路工程类似设计审查或设计咨询业绩，得10分；每增加一条公路工程设计审查或设计咨询业绩加2分，最多加10分。 赋分依据：须提供完整合同复印件，并加盖供应商公章，否则不得分。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供应商需要说明的其他内容.docx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满足磋商文件要求且最终报价最低的供应商的价格为磋商基准价，其价格分为满分。其他供应商的价格分统一按照下列公式计算：磋商报价得分=（磋商基准价/最终磋商报价）×15。 符合磋商文件规定的小微企业、监狱企业、残疾人福利企业优惠条件的供应商，价格给予10%的扣除，用扣除后的价格参与评审。注：计算分数时四舍五入取小数点后两位。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详见附件：磋商服务方案.docx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详见附件：供应商需要说明的其他内容.docx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