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B05E6">
      <w:pPr>
        <w:widowControl/>
        <w:kinsoku w:val="0"/>
        <w:autoSpaceDE w:val="0"/>
        <w:autoSpaceDN w:val="0"/>
        <w:adjustRightInd w:val="0"/>
        <w:snapToGrid w:val="0"/>
        <w:jc w:val="left"/>
        <w:textAlignment w:val="baseline"/>
        <w:rPr>
          <w:rFonts w:ascii="宋体" w:hAnsi="宋体" w:eastAsia="宋体" w:cs="宋体"/>
          <w:b/>
          <w:bCs/>
          <w:snapToGrid w:val="0"/>
          <w:kern w:val="0"/>
          <w:sz w:val="30"/>
          <w:szCs w:val="30"/>
          <w:highlight w:val="none"/>
          <w:u w:val="single"/>
        </w:rPr>
      </w:pPr>
      <w:bookmarkStart w:id="0" w:name="_GoBack"/>
      <w:r>
        <w:rPr>
          <w:rFonts w:hint="eastAsia" w:ascii="宋体" w:hAnsi="宋体" w:cs="宋体"/>
          <w:b/>
          <w:bCs/>
          <w:snapToGrid w:val="0"/>
          <w:kern w:val="0"/>
          <w:sz w:val="30"/>
          <w:szCs w:val="30"/>
          <w:highlight w:val="none"/>
        </w:rPr>
        <w:t xml:space="preserve">政府采购项目        </w:t>
      </w:r>
      <w:r>
        <w:rPr>
          <w:rFonts w:hint="eastAsia" w:ascii="宋体" w:hAnsi="宋体" w:eastAsia="宋体" w:cs="宋体"/>
          <w:b/>
          <w:bCs/>
          <w:snapToGrid w:val="0"/>
          <w:kern w:val="0"/>
          <w:sz w:val="30"/>
          <w:szCs w:val="30"/>
          <w:highlight w:val="none"/>
        </w:rPr>
        <w:t xml:space="preserve">             合同编号：</w:t>
      </w:r>
      <w:r>
        <w:rPr>
          <w:rFonts w:hint="eastAsia" w:ascii="宋体" w:hAnsi="宋体" w:eastAsia="宋体" w:cs="宋体"/>
          <w:b/>
          <w:bCs/>
          <w:sz w:val="30"/>
          <w:szCs w:val="30"/>
          <w:highlight w:val="none"/>
          <w:u w:val="single"/>
        </w:rPr>
        <w:t xml:space="preserve">              </w:t>
      </w:r>
    </w:p>
    <w:p w14:paraId="088CE3FE">
      <w:pPr>
        <w:spacing w:line="324" w:lineRule="auto"/>
        <w:rPr>
          <w:rFonts w:ascii="Times New Roman" w:hAnsi="宋体" w:eastAsia="宋体" w:cs="宋体"/>
          <w:b/>
          <w:bCs/>
          <w:sz w:val="24"/>
          <w:highlight w:val="none"/>
        </w:rPr>
      </w:pPr>
    </w:p>
    <w:p w14:paraId="0DFD71E5">
      <w:pPr>
        <w:spacing w:line="324" w:lineRule="auto"/>
        <w:rPr>
          <w:rFonts w:ascii="Times New Roman" w:hAnsi="宋体" w:eastAsia="宋体" w:cs="宋体"/>
          <w:b/>
          <w:bCs/>
          <w:sz w:val="24"/>
          <w:highlight w:val="none"/>
        </w:rPr>
      </w:pPr>
    </w:p>
    <w:p w14:paraId="48C22BEC">
      <w:pPr>
        <w:spacing w:line="324" w:lineRule="auto"/>
        <w:rPr>
          <w:rFonts w:ascii="Times New Roman" w:hAnsi="Times New Roman" w:eastAsia="宋体" w:cs="Times New Roman"/>
          <w:szCs w:val="21"/>
          <w:highlight w:val="none"/>
        </w:rPr>
      </w:pPr>
    </w:p>
    <w:p w14:paraId="4269916E">
      <w:pPr>
        <w:pStyle w:val="3"/>
        <w:rPr>
          <w:rFonts w:ascii="Times New Roman" w:hAnsi="Times New Roman" w:eastAsia="宋体" w:cs="Times New Roman"/>
          <w:sz w:val="21"/>
          <w:szCs w:val="21"/>
          <w:highlight w:val="none"/>
        </w:rPr>
      </w:pPr>
    </w:p>
    <w:p w14:paraId="019C8B00">
      <w:pPr>
        <w:rPr>
          <w:highlight w:val="none"/>
        </w:rPr>
      </w:pPr>
    </w:p>
    <w:p w14:paraId="18FB6E06">
      <w:pPr>
        <w:pStyle w:val="2"/>
        <w:ind w:hanging="7"/>
        <w:jc w:val="center"/>
        <w:rPr>
          <w:rFonts w:ascii="宋体" w:hAnsi="宋体" w:eastAsia="宋体" w:cs="宋体"/>
          <w:b/>
          <w:bCs/>
          <w:color w:val="auto"/>
          <w:kern w:val="0"/>
          <w:sz w:val="44"/>
          <w:szCs w:val="44"/>
          <w:highlight w:val="none"/>
        </w:rPr>
      </w:pPr>
      <w:r>
        <w:rPr>
          <w:rFonts w:hint="eastAsia" w:ascii="宋体" w:hAnsi="宋体" w:eastAsia="宋体" w:cs="宋体"/>
          <w:b/>
          <w:bCs/>
          <w:color w:val="auto"/>
          <w:kern w:val="0"/>
          <w:sz w:val="44"/>
          <w:szCs w:val="44"/>
          <w:highlight w:val="none"/>
        </w:rPr>
        <w:t>（项目名称）</w:t>
      </w:r>
    </w:p>
    <w:p w14:paraId="5682C424">
      <w:pPr>
        <w:pStyle w:val="2"/>
        <w:ind w:hanging="7"/>
        <w:jc w:val="center"/>
        <w:rPr>
          <w:rFonts w:ascii="宋体" w:hAnsi="宋体" w:eastAsia="宋体" w:cs="宋体"/>
          <w:b/>
          <w:bCs/>
          <w:color w:val="auto"/>
          <w:kern w:val="0"/>
          <w:sz w:val="44"/>
          <w:szCs w:val="44"/>
          <w:highlight w:val="none"/>
        </w:rPr>
      </w:pPr>
      <w:r>
        <w:rPr>
          <w:rFonts w:hint="eastAsia" w:ascii="宋体" w:hAnsi="宋体" w:eastAsia="宋体" w:cs="宋体"/>
          <w:b/>
          <w:bCs/>
          <w:color w:val="auto"/>
          <w:kern w:val="0"/>
          <w:sz w:val="44"/>
          <w:szCs w:val="44"/>
          <w:highlight w:val="none"/>
        </w:rPr>
        <w:t>服务合同</w:t>
      </w:r>
    </w:p>
    <w:p w14:paraId="1A61E6D1">
      <w:pPr>
        <w:spacing w:line="324" w:lineRule="auto"/>
        <w:rPr>
          <w:rFonts w:ascii="Times New Roman" w:hAnsi="宋体" w:eastAsia="宋体" w:cs="宋体"/>
          <w:sz w:val="18"/>
          <w:szCs w:val="21"/>
          <w:highlight w:val="none"/>
        </w:rPr>
      </w:pPr>
    </w:p>
    <w:p w14:paraId="2B433D05">
      <w:pPr>
        <w:spacing w:line="324" w:lineRule="auto"/>
        <w:rPr>
          <w:rFonts w:ascii="Times New Roman" w:hAnsi="宋体" w:eastAsia="宋体" w:cs="宋体"/>
          <w:sz w:val="18"/>
          <w:szCs w:val="21"/>
          <w:highlight w:val="none"/>
        </w:rPr>
      </w:pPr>
    </w:p>
    <w:p w14:paraId="07DCA7D5">
      <w:pPr>
        <w:spacing w:line="324" w:lineRule="auto"/>
        <w:rPr>
          <w:rFonts w:ascii="Times New Roman" w:hAnsi="Times New Roman" w:eastAsia="宋体" w:cs="Times New Roman"/>
          <w:szCs w:val="21"/>
          <w:highlight w:val="none"/>
        </w:rPr>
      </w:pPr>
    </w:p>
    <w:p w14:paraId="0594E3E7">
      <w:pPr>
        <w:spacing w:line="324" w:lineRule="auto"/>
        <w:rPr>
          <w:rFonts w:ascii="Times New Roman" w:hAnsi="Times New Roman" w:eastAsia="宋体" w:cs="Times New Roman"/>
          <w:szCs w:val="21"/>
          <w:highlight w:val="none"/>
        </w:rPr>
      </w:pPr>
    </w:p>
    <w:p w14:paraId="002990CC">
      <w:pPr>
        <w:spacing w:line="324" w:lineRule="auto"/>
        <w:rPr>
          <w:rFonts w:ascii="Times New Roman" w:hAnsi="宋体" w:eastAsia="宋体" w:cs="宋体"/>
          <w:sz w:val="18"/>
          <w:szCs w:val="21"/>
          <w:highlight w:val="none"/>
        </w:rPr>
      </w:pPr>
    </w:p>
    <w:p w14:paraId="64747A58">
      <w:pPr>
        <w:spacing w:line="324" w:lineRule="auto"/>
        <w:rPr>
          <w:rFonts w:ascii="Times New Roman" w:hAnsi="宋体" w:eastAsia="宋体" w:cs="宋体"/>
          <w:sz w:val="18"/>
          <w:szCs w:val="21"/>
          <w:highlight w:val="none"/>
        </w:rPr>
      </w:pPr>
    </w:p>
    <w:p w14:paraId="17997FCC">
      <w:pPr>
        <w:spacing w:line="324" w:lineRule="auto"/>
        <w:jc w:val="center"/>
        <w:rPr>
          <w:rFonts w:ascii="Times New Roman" w:hAnsi="宋体" w:eastAsia="宋体" w:cs="宋体"/>
          <w:b/>
          <w:sz w:val="28"/>
          <w:szCs w:val="28"/>
          <w:highlight w:val="none"/>
        </w:rPr>
      </w:pPr>
    </w:p>
    <w:p w14:paraId="2492A88F">
      <w:pPr>
        <w:spacing w:before="156" w:beforeLines="50" w:line="360" w:lineRule="auto"/>
        <w:rPr>
          <w:rFonts w:ascii="Times New Roman" w:hAnsi="宋体" w:eastAsia="宋体" w:cs="宋体"/>
          <w:bCs/>
          <w:sz w:val="40"/>
          <w:szCs w:val="40"/>
          <w:highlight w:val="none"/>
        </w:rPr>
      </w:pPr>
    </w:p>
    <w:p w14:paraId="636D66E5">
      <w:pPr>
        <w:spacing w:before="156" w:beforeLines="50" w:line="360" w:lineRule="auto"/>
        <w:jc w:val="center"/>
        <w:rPr>
          <w:rFonts w:ascii="Times New Roman" w:hAnsi="宋体" w:eastAsia="宋体" w:cs="宋体"/>
          <w:b/>
          <w:bCs/>
          <w:sz w:val="28"/>
          <w:szCs w:val="28"/>
          <w:highlight w:val="none"/>
        </w:rPr>
      </w:pPr>
    </w:p>
    <w:p w14:paraId="49CF7D17">
      <w:pPr>
        <w:widowControl/>
        <w:kinsoku w:val="0"/>
        <w:autoSpaceDE w:val="0"/>
        <w:autoSpaceDN w:val="0"/>
        <w:adjustRightInd w:val="0"/>
        <w:snapToGrid w:val="0"/>
        <w:spacing w:line="360" w:lineRule="auto"/>
        <w:ind w:firstLine="1263" w:firstLineChars="393"/>
        <w:jc w:val="left"/>
        <w:textAlignment w:val="baseline"/>
        <w:rPr>
          <w:rFonts w:ascii="宋体" w:hAnsi="宋体" w:eastAsia="宋体" w:cs="宋体"/>
          <w:b/>
          <w:bCs/>
          <w:snapToGrid w:val="0"/>
          <w:kern w:val="0"/>
          <w:sz w:val="32"/>
          <w:szCs w:val="32"/>
          <w:highlight w:val="none"/>
          <w:u w:val="single"/>
        </w:rPr>
      </w:pPr>
      <w:r>
        <w:rPr>
          <w:rFonts w:hint="eastAsia" w:ascii="宋体" w:hAnsi="宋体" w:eastAsia="宋体" w:cs="宋体"/>
          <w:b/>
          <w:bCs/>
          <w:snapToGrid w:val="0"/>
          <w:kern w:val="0"/>
          <w:sz w:val="32"/>
          <w:szCs w:val="32"/>
          <w:highlight w:val="none"/>
        </w:rPr>
        <w:t xml:space="preserve">采购人： </w:t>
      </w:r>
      <w:r>
        <w:rPr>
          <w:rFonts w:hint="eastAsia" w:ascii="宋体" w:hAnsi="宋体" w:eastAsia="宋体" w:cs="宋体"/>
          <w:b/>
          <w:bCs/>
          <w:snapToGrid w:val="0"/>
          <w:kern w:val="0"/>
          <w:sz w:val="32"/>
          <w:szCs w:val="32"/>
          <w:highlight w:val="none"/>
          <w:u w:val="single"/>
        </w:rPr>
        <w:t xml:space="preserve">    陕西省公路局    </w:t>
      </w:r>
    </w:p>
    <w:p w14:paraId="0004B499">
      <w:pPr>
        <w:widowControl/>
        <w:kinsoku w:val="0"/>
        <w:autoSpaceDE w:val="0"/>
        <w:autoSpaceDN w:val="0"/>
        <w:adjustRightInd w:val="0"/>
        <w:snapToGrid w:val="0"/>
        <w:spacing w:line="360" w:lineRule="auto"/>
        <w:ind w:firstLine="1263" w:firstLineChars="393"/>
        <w:jc w:val="left"/>
        <w:textAlignment w:val="baseline"/>
        <w:rPr>
          <w:rFonts w:ascii="宋体" w:hAnsi="宋体" w:eastAsia="宋体" w:cs="宋体"/>
          <w:b/>
          <w:bCs/>
          <w:snapToGrid w:val="0"/>
          <w:kern w:val="0"/>
          <w:sz w:val="32"/>
          <w:szCs w:val="32"/>
          <w:highlight w:val="none"/>
          <w:u w:val="single"/>
        </w:rPr>
      </w:pPr>
      <w:r>
        <w:rPr>
          <w:rFonts w:hint="eastAsia" w:ascii="宋体" w:hAnsi="宋体" w:eastAsia="宋体" w:cs="宋体"/>
          <w:b/>
          <w:bCs/>
          <w:snapToGrid w:val="0"/>
          <w:kern w:val="0"/>
          <w:sz w:val="32"/>
          <w:szCs w:val="32"/>
          <w:highlight w:val="none"/>
        </w:rPr>
        <w:t xml:space="preserve">供应商： </w:t>
      </w:r>
      <w:r>
        <w:rPr>
          <w:rFonts w:hint="eastAsia" w:ascii="宋体" w:hAnsi="宋体" w:eastAsia="宋体" w:cs="宋体"/>
          <w:b/>
          <w:bCs/>
          <w:snapToGrid w:val="0"/>
          <w:kern w:val="0"/>
          <w:sz w:val="32"/>
          <w:szCs w:val="32"/>
          <w:highlight w:val="none"/>
          <w:u w:val="single"/>
        </w:rPr>
        <w:t xml:space="preserve">                    </w:t>
      </w:r>
    </w:p>
    <w:p w14:paraId="72A8070A">
      <w:pPr>
        <w:widowControl/>
        <w:kinsoku w:val="0"/>
        <w:autoSpaceDE w:val="0"/>
        <w:autoSpaceDN w:val="0"/>
        <w:adjustRightInd w:val="0"/>
        <w:snapToGrid w:val="0"/>
        <w:spacing w:line="360" w:lineRule="auto"/>
        <w:ind w:firstLine="2866" w:firstLineChars="892"/>
        <w:jc w:val="left"/>
        <w:textAlignment w:val="baseline"/>
        <w:rPr>
          <w:rFonts w:ascii="宋体" w:hAnsi="宋体" w:eastAsia="宋体" w:cs="宋体"/>
          <w:b/>
          <w:bCs/>
          <w:snapToGrid w:val="0"/>
          <w:kern w:val="0"/>
          <w:sz w:val="32"/>
          <w:szCs w:val="32"/>
          <w:highlight w:val="none"/>
        </w:rPr>
      </w:pPr>
    </w:p>
    <w:p w14:paraId="5CC5ED43">
      <w:pPr>
        <w:widowControl/>
        <w:kinsoku w:val="0"/>
        <w:autoSpaceDE w:val="0"/>
        <w:autoSpaceDN w:val="0"/>
        <w:adjustRightInd w:val="0"/>
        <w:snapToGrid w:val="0"/>
        <w:spacing w:line="360" w:lineRule="auto"/>
        <w:ind w:firstLine="2866" w:firstLineChars="892"/>
        <w:jc w:val="left"/>
        <w:textAlignment w:val="baseline"/>
        <w:rPr>
          <w:rFonts w:ascii="宋体" w:hAnsi="宋体" w:eastAsia="宋体" w:cs="宋体"/>
          <w:b/>
          <w:bCs/>
          <w:sz w:val="24"/>
          <w:highlight w:val="none"/>
        </w:rPr>
      </w:pPr>
      <w:r>
        <w:rPr>
          <w:rFonts w:hint="eastAsia" w:ascii="宋体" w:hAnsi="宋体" w:eastAsia="宋体" w:cs="宋体"/>
          <w:b/>
          <w:bCs/>
          <w:snapToGrid w:val="0"/>
          <w:kern w:val="0"/>
          <w:sz w:val="32"/>
          <w:szCs w:val="32"/>
          <w:highlight w:val="none"/>
        </w:rPr>
        <w:t>二〇二六年  月</w:t>
      </w:r>
      <w:r>
        <w:rPr>
          <w:rFonts w:hint="eastAsia" w:ascii="Times New Roman" w:hAnsi="宋体" w:eastAsia="宋体" w:cs="宋体"/>
          <w:b/>
          <w:bCs/>
          <w:sz w:val="28"/>
          <w:szCs w:val="28"/>
          <w:highlight w:val="none"/>
        </w:rPr>
        <w:br w:type="page"/>
      </w:r>
    </w:p>
    <w:p w14:paraId="07141AC3">
      <w:pPr>
        <w:spacing w:before="156" w:beforeLines="50" w:line="360" w:lineRule="auto"/>
        <w:jc w:val="center"/>
        <w:outlineLvl w:val="0"/>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合同协议书</w:t>
      </w:r>
    </w:p>
    <w:p w14:paraId="5BDF8462">
      <w:pPr>
        <w:spacing w:line="360" w:lineRule="auto"/>
        <w:ind w:firstLine="482" w:firstLineChars="200"/>
        <w:rPr>
          <w:rFonts w:hint="eastAsia" w:ascii="仿宋" w:hAnsi="仿宋" w:eastAsia="仿宋" w:cs="仿宋"/>
          <w:b/>
          <w:bCs/>
          <w:sz w:val="24"/>
          <w:highlight w:val="none"/>
        </w:rPr>
      </w:pPr>
    </w:p>
    <w:p w14:paraId="268CC320">
      <w:pPr>
        <w:spacing w:line="520" w:lineRule="exact"/>
        <w:ind w:firstLine="562" w:firstLineChars="200"/>
        <w:rPr>
          <w:rFonts w:hint="eastAsia" w:ascii="仿宋" w:hAnsi="仿宋" w:eastAsia="仿宋" w:cs="仿宋"/>
          <w:b/>
          <w:bCs/>
          <w:sz w:val="28"/>
          <w:szCs w:val="28"/>
          <w:highlight w:val="none"/>
          <w:u w:val="single"/>
        </w:rPr>
      </w:pPr>
      <w:r>
        <w:rPr>
          <w:rFonts w:hint="eastAsia" w:ascii="仿宋" w:hAnsi="仿宋" w:eastAsia="仿宋" w:cs="仿宋"/>
          <w:b/>
          <w:bCs/>
          <w:sz w:val="28"/>
          <w:szCs w:val="28"/>
          <w:highlight w:val="none"/>
        </w:rPr>
        <w:t>甲方（采购人）：</w:t>
      </w:r>
      <w:r>
        <w:rPr>
          <w:rFonts w:hint="eastAsia" w:ascii="仿宋" w:hAnsi="仿宋" w:eastAsia="仿宋" w:cs="仿宋"/>
          <w:b/>
          <w:bCs/>
          <w:sz w:val="28"/>
          <w:szCs w:val="28"/>
          <w:highlight w:val="none"/>
          <w:u w:val="single"/>
        </w:rPr>
        <w:t xml:space="preserve">                                      </w:t>
      </w:r>
    </w:p>
    <w:p w14:paraId="2B63BF69">
      <w:pPr>
        <w:spacing w:line="520" w:lineRule="exact"/>
        <w:ind w:firstLine="562" w:firstLineChars="200"/>
        <w:rPr>
          <w:rFonts w:hint="eastAsia" w:ascii="仿宋" w:hAnsi="仿宋" w:eastAsia="仿宋" w:cs="仿宋"/>
          <w:b/>
          <w:bCs/>
          <w:sz w:val="28"/>
          <w:szCs w:val="28"/>
          <w:highlight w:val="none"/>
          <w:u w:val="single"/>
        </w:rPr>
      </w:pPr>
      <w:r>
        <w:rPr>
          <w:rFonts w:hint="eastAsia" w:ascii="仿宋" w:hAnsi="仿宋" w:eastAsia="仿宋" w:cs="仿宋"/>
          <w:b/>
          <w:bCs/>
          <w:sz w:val="28"/>
          <w:szCs w:val="28"/>
          <w:highlight w:val="none"/>
        </w:rPr>
        <w:t>乙方（供应商）：</w:t>
      </w:r>
      <w:r>
        <w:rPr>
          <w:rFonts w:hint="eastAsia" w:ascii="仿宋" w:hAnsi="仿宋" w:eastAsia="仿宋" w:cs="仿宋"/>
          <w:b/>
          <w:bCs/>
          <w:sz w:val="28"/>
          <w:szCs w:val="28"/>
          <w:highlight w:val="none"/>
          <w:u w:val="single"/>
        </w:rPr>
        <w:t xml:space="preserve">                                      </w:t>
      </w:r>
    </w:p>
    <w:p w14:paraId="11A32EC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根据《中华人民共和国民法典》《中华人民共和国政府采购法》及其他有关法律、法规，遵循平等、自愿、公平和诚信的原则，双方就下述项目范围与相关服务事项协商一致， 订立本合同。</w:t>
      </w:r>
    </w:p>
    <w:p w14:paraId="617F6925">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一、项目概况</w:t>
      </w:r>
    </w:p>
    <w:p w14:paraId="68166360">
      <w:pPr>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（一）项目名称：</w:t>
      </w:r>
      <w:r>
        <w:rPr>
          <w:rFonts w:hint="eastAsia" w:ascii="仿宋" w:hAnsi="仿宋" w:eastAsia="仿宋" w:cs="仿宋"/>
          <w:sz w:val="28"/>
          <w:szCs w:val="28"/>
          <w:highlight w:val="none"/>
          <w:u w:val="single"/>
        </w:rPr>
        <w:t xml:space="preserve">                                        </w:t>
      </w:r>
    </w:p>
    <w:p w14:paraId="172F4341">
      <w:pPr>
        <w:pStyle w:val="2"/>
        <w:ind w:firstLine="560" w:firstLineChars="200"/>
        <w:rPr>
          <w:rFonts w:hint="eastAsia" w:ascii="仿宋" w:hAnsi="仿宋" w:eastAsia="仿宋" w:cs="仿宋"/>
          <w:highlight w:val="none"/>
        </w:rPr>
      </w:pPr>
      <w:r>
        <w:rPr>
          <w:rFonts w:hint="eastAsia" w:ascii="仿宋" w:hAnsi="仿宋" w:eastAsia="仿宋" w:cs="仿宋"/>
          <w:color w:val="auto"/>
          <w:sz w:val="28"/>
          <w:szCs w:val="28"/>
          <w:highlight w:val="none"/>
        </w:rPr>
        <w:t>（二）项目地点：</w:t>
      </w:r>
      <w:r>
        <w:rPr>
          <w:rFonts w:hint="eastAsia" w:ascii="仿宋" w:hAnsi="仿宋" w:eastAsia="仿宋" w:cs="仿宋"/>
          <w:color w:val="auto"/>
          <w:sz w:val="28"/>
          <w:szCs w:val="28"/>
          <w:highlight w:val="none"/>
          <w:u w:val="single"/>
        </w:rPr>
        <w:t xml:space="preserve">                                        </w:t>
      </w:r>
    </w:p>
    <w:p w14:paraId="10970EB3">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（三）服务内容：</w:t>
      </w:r>
    </w:p>
    <w:p w14:paraId="6FBA3C36">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二、合同金额</w:t>
      </w:r>
    </w:p>
    <w:p w14:paraId="619ADCDA">
      <w:pPr>
        <w:spacing w:line="520" w:lineRule="exact"/>
        <w:ind w:left="839" w:leftChars="266" w:hanging="280" w:hangingChars="100"/>
        <w:rPr>
          <w:rFonts w:hint="eastAsia" w:ascii="仿宋" w:hAnsi="仿宋" w:eastAsia="仿宋" w:cs="仿宋"/>
          <w:sz w:val="28"/>
          <w:szCs w:val="28"/>
          <w:highlight w:val="none"/>
        </w:rPr>
      </w:pPr>
      <w:r>
        <w:rPr>
          <w:rFonts w:hint="eastAsia" w:ascii="仿宋" w:hAnsi="仿宋" w:eastAsia="仿宋" w:cs="仿宋"/>
          <w:sz w:val="28"/>
          <w:szCs w:val="28"/>
          <w:highlight w:val="none"/>
        </w:rPr>
        <w:t>合同总价款(含税价):</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元)。</w:t>
      </w:r>
    </w:p>
    <w:p w14:paraId="4F826BD2">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合同价格为含税价，乙方报价包含完成本项目所需的全部费用（包括但不限于劳务费、国家按现行税收政策征收的一切税、服务费、分析报告出具费用等一切费用）（根据合同内容予以确定），甲方无需再向乙方支付其他任何费用。（根据合同内容予以确定）</w:t>
      </w:r>
    </w:p>
    <w:p w14:paraId="424E4A1A">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三、服务期限</w:t>
      </w:r>
    </w:p>
    <w:p w14:paraId="5C4132A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合同服务期为合同签订之日起</w:t>
      </w:r>
      <w:r>
        <w:rPr>
          <w:rFonts w:hint="eastAsia" w:ascii="仿宋" w:hAnsi="仿宋" w:eastAsia="仿宋" w:cs="仿宋"/>
          <w:sz w:val="28"/>
          <w:szCs w:val="28"/>
          <w:highlight w:val="none"/>
          <w:lang w:val="en-US" w:eastAsia="zh-CN"/>
        </w:rPr>
        <w:t>一年。</w:t>
      </w:r>
    </w:p>
    <w:p w14:paraId="77872B5C">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根据《财政部关于推进和完善服务项目政府采购有关问题的通知》（财库〔2014〕37号）有关规定，本项目在合同期满前，甲方将对乙方进行考核，根据服务满意程度，甲方有权决定是否续签合同，累计合同履行期限不超过3年。</w:t>
      </w:r>
    </w:p>
    <w:p w14:paraId="73682456">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四、结算方式</w:t>
      </w:r>
    </w:p>
    <w:p w14:paraId="11EEAF1E">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（一）结算单位:</w:t>
      </w:r>
    </w:p>
    <w:p w14:paraId="3C897F6B">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由甲方负责结算。费用结算采用银行转账方式，分期付款。乙方应在甲方每次付款前，按照甲方要求的发票类型和金额，向甲方开具合法有效的发票，税费由乙方承担。否则，甲方有权拒绝付款且不承担迟延支付的违约责任。</w:t>
      </w:r>
    </w:p>
    <w:p w14:paraId="10DA80FE">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（二）付款方式:</w:t>
      </w:r>
    </w:p>
    <w:p w14:paraId="05B539DC">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合同签订前，乙方须向甲方缴纳合同总金额5%的履约保证金，履约保证金待乙方履行完毕全部合同义务，并经甲方履约验收合格，无任何纠纷后无息退还。</w:t>
      </w:r>
    </w:p>
    <w:p w14:paraId="0246F1E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合同签订后，甲方收到履约保证金及增值税普通发票后，达到付款条件起30日内，支付合同总金额的60.00%。乙方提交项目年度咨询报告，且作为普通公路建养项目出具省级审查意见的依据，达到付款条件起30日内，支付合同总金额的40.00%。</w:t>
      </w:r>
    </w:p>
    <w:p w14:paraId="240B3A6C">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五、主要工作内容</w:t>
      </w:r>
    </w:p>
    <w:p w14:paraId="735D0683">
      <w:pPr>
        <w:spacing w:line="520" w:lineRule="exact"/>
        <w:ind w:firstLine="560" w:firstLineChars="200"/>
        <w:rPr>
          <w:rFonts w:hint="eastAsia" w:ascii="仿宋" w:hAnsi="仿宋" w:eastAsia="仿宋" w:cs="仿宋"/>
          <w:b/>
          <w:bCs/>
          <w:sz w:val="28"/>
          <w:szCs w:val="28"/>
          <w:highlight w:val="none"/>
        </w:rPr>
      </w:pPr>
      <w:r>
        <w:rPr>
          <w:rFonts w:hint="eastAsia" w:ascii="仿宋" w:hAnsi="仿宋" w:eastAsia="仿宋" w:cs="仿宋"/>
          <w:sz w:val="28"/>
          <w:szCs w:val="28"/>
          <w:highlight w:val="none"/>
        </w:rPr>
        <w:t>按照《公路工程技术标准》《公路养护技术标准》等相关技术标准规范及部省规范性文件要求，完成2027年拟实施普通干线公路养护大中修、路面改造、危旧桥隧改造、灾害防治工程等项目方案设计审查的技术咨询服务（咨询项目累计投资总额不少于10亿元），并编制咨询报告。</w:t>
      </w:r>
    </w:p>
    <w:p w14:paraId="1735A382">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六、其他要求</w:t>
      </w:r>
    </w:p>
    <w:p w14:paraId="1FA61B9B">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满足交通运输部、陕西省交通运输主管部门印发的规范性文件以及招标文件相关技术要求。</w:t>
      </w:r>
    </w:p>
    <w:p w14:paraId="4A249DD9">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七、售后服务(根据项目内容自行确定是否需要）</w:t>
      </w:r>
    </w:p>
    <w:p w14:paraId="45513A35">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技术支持和售后服务由乙方严格按</w:t>
      </w:r>
      <w:r>
        <w:rPr>
          <w:rFonts w:hint="eastAsia" w:ascii="仿宋_GB2312" w:hAnsi="仿宋_GB2312" w:eastAsia="仿宋_GB2312" w:cs="仿宋_GB2312"/>
          <w:color w:val="auto"/>
          <w:sz w:val="28"/>
          <w:szCs w:val="28"/>
          <w:highlight w:val="none"/>
          <w:lang w:eastAsia="zh-CN"/>
        </w:rPr>
        <w:t>响应文件</w:t>
      </w:r>
      <w:r>
        <w:rPr>
          <w:rFonts w:hint="eastAsia" w:ascii="仿宋_GB2312" w:hAnsi="仿宋_GB2312" w:eastAsia="仿宋_GB2312" w:cs="仿宋_GB2312"/>
          <w:color w:val="auto"/>
          <w:sz w:val="28"/>
          <w:szCs w:val="28"/>
          <w:highlight w:val="none"/>
        </w:rPr>
        <w:t>及有关承诺执行，提供7*24小时电话咨询服务，出现问题时，</w:t>
      </w:r>
      <w:r>
        <w:rPr>
          <w:rFonts w:hint="eastAsia" w:ascii="仿宋_GB2312" w:hAnsi="仿宋_GB2312" w:eastAsia="仿宋_GB2312" w:cs="仿宋_GB2312"/>
          <w:color w:val="auto"/>
          <w:sz w:val="28"/>
          <w:szCs w:val="28"/>
          <w:highlight w:val="none"/>
          <w:u w:val="single"/>
          <w:lang w:val="en-US" w:eastAsia="zh-CN"/>
        </w:rPr>
        <w:t xml:space="preserve"> 2 </w:t>
      </w:r>
      <w:r>
        <w:rPr>
          <w:rFonts w:hint="eastAsia" w:ascii="仿宋_GB2312" w:hAnsi="仿宋_GB2312" w:eastAsia="仿宋_GB2312" w:cs="仿宋_GB2312"/>
          <w:color w:val="auto"/>
          <w:sz w:val="28"/>
          <w:szCs w:val="28"/>
          <w:highlight w:val="none"/>
        </w:rPr>
        <w:t>小时内电话响应，</w:t>
      </w:r>
      <w:r>
        <w:rPr>
          <w:rFonts w:hint="eastAsia" w:ascii="仿宋_GB2312" w:hAnsi="仿宋_GB2312" w:eastAsia="仿宋_GB2312" w:cs="仿宋_GB2312"/>
          <w:color w:val="auto"/>
          <w:sz w:val="28"/>
          <w:szCs w:val="28"/>
          <w:highlight w:val="none"/>
          <w:u w:val="single"/>
          <w:lang w:val="en-US" w:eastAsia="zh-CN"/>
        </w:rPr>
        <w:t xml:space="preserve"> 12 </w:t>
      </w:r>
      <w:r>
        <w:rPr>
          <w:rFonts w:hint="eastAsia" w:ascii="仿宋_GB2312" w:hAnsi="仿宋_GB2312" w:eastAsia="仿宋_GB2312" w:cs="仿宋_GB2312"/>
          <w:color w:val="auto"/>
          <w:sz w:val="28"/>
          <w:szCs w:val="28"/>
          <w:highlight w:val="none"/>
        </w:rPr>
        <w:t>小时内电话解决问题，如有需要</w:t>
      </w:r>
      <w:r>
        <w:rPr>
          <w:rFonts w:hint="eastAsia" w:ascii="仿宋_GB2312" w:hAnsi="仿宋_GB2312" w:eastAsia="仿宋_GB2312" w:cs="仿宋_GB2312"/>
          <w:color w:val="auto"/>
          <w:sz w:val="28"/>
          <w:szCs w:val="28"/>
          <w:highlight w:val="none"/>
          <w:u w:val="single"/>
          <w:lang w:val="en-US" w:eastAsia="zh-CN"/>
        </w:rPr>
        <w:t xml:space="preserve"> 48 </w:t>
      </w:r>
      <w:r>
        <w:rPr>
          <w:rFonts w:hint="eastAsia" w:ascii="仿宋_GB2312" w:hAnsi="仿宋_GB2312" w:eastAsia="仿宋_GB2312" w:cs="仿宋_GB2312"/>
          <w:color w:val="auto"/>
          <w:sz w:val="28"/>
          <w:szCs w:val="28"/>
          <w:highlight w:val="none"/>
        </w:rPr>
        <w:t>小时内到达故障现场解决问题。</w:t>
      </w:r>
    </w:p>
    <w:p w14:paraId="1D42323F">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售后服务联系方式:</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p>
    <w:p w14:paraId="2CAC6CC4">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如</w:t>
      </w:r>
      <w:r>
        <w:rPr>
          <w:rFonts w:hint="eastAsia" w:ascii="仿宋_GB2312" w:hAnsi="仿宋_GB2312" w:eastAsia="仿宋_GB2312" w:cs="仿宋_GB2312"/>
          <w:color w:val="auto"/>
          <w:sz w:val="28"/>
          <w:szCs w:val="28"/>
          <w:highlight w:val="none"/>
          <w:lang w:eastAsia="zh-CN"/>
        </w:rPr>
        <w:t>因</w:t>
      </w:r>
      <w:r>
        <w:rPr>
          <w:rFonts w:hint="eastAsia" w:ascii="仿宋_GB2312" w:hAnsi="仿宋_GB2312" w:eastAsia="仿宋_GB2312" w:cs="仿宋_GB2312"/>
          <w:color w:val="auto"/>
          <w:sz w:val="28"/>
          <w:szCs w:val="28"/>
          <w:highlight w:val="none"/>
        </w:rPr>
        <w:t>乙方自身原因或不能履行售后服务义务,甲方有权委托第三方处理，由此产生的费用和风险由乙方承担</w:t>
      </w:r>
      <w:r>
        <w:rPr>
          <w:rFonts w:hint="eastAsia" w:ascii="仿宋_GB2312" w:hAnsi="仿宋_GB2312" w:eastAsia="仿宋_GB2312" w:cs="仿宋_GB2312"/>
          <w:color w:val="auto"/>
          <w:sz w:val="28"/>
          <w:szCs w:val="28"/>
          <w:highlight w:val="none"/>
          <w:lang w:eastAsia="zh-CN"/>
        </w:rPr>
        <w:t>。</w:t>
      </w:r>
    </w:p>
    <w:p w14:paraId="1420411B">
      <w:pPr>
        <w:pageBreakBefore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val="en-US" w:eastAsia="zh-CN"/>
        </w:rPr>
        <w:t>八</w:t>
      </w:r>
      <w:r>
        <w:rPr>
          <w:rFonts w:hint="eastAsia" w:ascii="仿宋_GB2312" w:hAnsi="仿宋_GB2312" w:eastAsia="仿宋_GB2312" w:cs="仿宋_GB2312"/>
          <w:b/>
          <w:bCs/>
          <w:color w:val="auto"/>
          <w:sz w:val="28"/>
          <w:szCs w:val="28"/>
          <w:highlight w:val="none"/>
        </w:rPr>
        <w:t>、</w:t>
      </w:r>
      <w:r>
        <w:rPr>
          <w:rFonts w:hint="eastAsia" w:ascii="仿宋_GB2312" w:hAnsi="仿宋_GB2312" w:eastAsia="仿宋_GB2312" w:cs="仿宋_GB2312"/>
          <w:b/>
          <w:bCs/>
          <w:color w:val="auto"/>
          <w:sz w:val="28"/>
          <w:szCs w:val="28"/>
          <w:highlight w:val="none"/>
          <w:lang w:eastAsia="zh-CN"/>
        </w:rPr>
        <w:t>验收</w:t>
      </w:r>
    </w:p>
    <w:p w14:paraId="25B7B604">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w:t>
      </w:r>
      <w:r>
        <w:rPr>
          <w:rFonts w:hint="eastAsia" w:ascii="仿宋_GB2312" w:hAnsi="仿宋_GB2312" w:eastAsia="仿宋_GB2312" w:cs="仿宋_GB2312"/>
          <w:color w:val="auto"/>
          <w:sz w:val="28"/>
          <w:szCs w:val="28"/>
          <w:highlight w:val="none"/>
          <w:lang w:val="en-US" w:eastAsia="zh-CN"/>
        </w:rPr>
        <w:t>乙方提交的各项成果资料满足国家现行的《公路工程技术标准》《公路养护技术标准》等相关技术标准、规范、规程以及我省公路养护管理相关规定。所提交的咨询报告能作为普通干线公路养护工程项目出具省级审查意见的依据。</w:t>
      </w:r>
    </w:p>
    <w:p w14:paraId="08491535">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797B44DF">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（三）验收依据：①本合同及附件文本；②招标（竞争性磋商）文件、投标（磋商）响应文件、澄清表（函）；③国家相应的标准、规范。</w:t>
      </w:r>
    </w:p>
    <w:p w14:paraId="3CFB2B26">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乙方应按合同约定按期、足额完成全部约定工作量。经甲方最终验收确认乙方实际完成工作量，完成率≥95%的，视为乙方满足合同约定标准；75%≤完成率＜95%的，乙方应按合同总金额的5%向甲方返还对应款项；50%≤完成率＜75%的，乙方应按合同总金额的10%向甲方返还对应款项；完成率＜50%的，乙方应返还甲方合同总金额的20%。</w:t>
      </w:r>
    </w:p>
    <w:p w14:paraId="6CB2127C">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3C379AE7">
      <w:pPr>
        <w:pageBreakBefore w:val="0"/>
        <w:tabs>
          <w:tab w:val="left" w:pos="980"/>
        </w:tabs>
        <w:kinsoku w:val="0"/>
        <w:wordWrap/>
        <w:overflowPunct/>
        <w:topLinePunct w:val="0"/>
        <w:autoSpaceDE/>
        <w:autoSpaceDN/>
        <w:bidi w:val="0"/>
        <w:spacing w:line="520" w:lineRule="exact"/>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i w:val="0"/>
          <w:iCs w:val="0"/>
          <w:caps w:val="0"/>
          <w:color w:val="auto"/>
          <w:spacing w:val="0"/>
          <w:kern w:val="0"/>
          <w:sz w:val="28"/>
          <w:szCs w:val="28"/>
          <w:highlight w:val="none"/>
          <w:lang w:val="en-US" w:eastAsia="zh-CN" w:bidi="ar"/>
        </w:rPr>
        <w:t xml:space="preserve">    </w:t>
      </w:r>
      <w:r>
        <w:rPr>
          <w:rFonts w:hint="eastAsia" w:ascii="仿宋_GB2312" w:hAnsi="仿宋_GB2312" w:eastAsia="仿宋_GB2312" w:cs="仿宋_GB2312"/>
          <w:b/>
          <w:bCs/>
          <w:color w:val="auto"/>
          <w:sz w:val="28"/>
          <w:szCs w:val="28"/>
          <w:highlight w:val="none"/>
          <w:lang w:val="en-US" w:eastAsia="zh-CN"/>
        </w:rPr>
        <w:t>九、保密</w:t>
      </w:r>
    </w:p>
    <w:p w14:paraId="7A0AE3E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74BDF9B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乙方违反保密规定的，除承担法律责任外，还应向甲方支付合同总金额</w:t>
      </w:r>
      <w:r>
        <w:rPr>
          <w:rFonts w:hint="eastAsia" w:ascii="仿宋_GB2312" w:hAnsi="仿宋_GB2312" w:eastAsia="仿宋_GB2312" w:cs="仿宋_GB2312"/>
          <w:color w:val="auto"/>
          <w:sz w:val="28"/>
          <w:szCs w:val="28"/>
          <w:highlight w:val="none"/>
          <w:u w:val="single"/>
          <w:lang w:val="en-US" w:eastAsia="zh-CN"/>
        </w:rPr>
        <w:t xml:space="preserve"> 20 </w:t>
      </w:r>
      <w:r>
        <w:rPr>
          <w:rFonts w:hint="eastAsia" w:ascii="仿宋_GB2312" w:hAnsi="仿宋_GB2312" w:eastAsia="仿宋_GB2312" w:cs="仿宋_GB2312"/>
          <w:color w:val="auto"/>
          <w:sz w:val="28"/>
          <w:szCs w:val="28"/>
          <w:highlight w:val="none"/>
          <w:lang w:val="en-US" w:eastAsia="zh-CN"/>
        </w:rPr>
        <w:t>%的违约金，给甲方造成损失的，乙方还应予以赔偿。</w:t>
      </w:r>
    </w:p>
    <w:p w14:paraId="7D8F118D">
      <w:pPr>
        <w:pageBreakBefore w:val="0"/>
        <w:tabs>
          <w:tab w:val="left" w:pos="980"/>
        </w:tabs>
        <w:kinsoku w:val="0"/>
        <w:wordWrap/>
        <w:overflowPunct/>
        <w:topLinePunct w:val="0"/>
        <w:autoSpaceDE/>
        <w:autoSpaceDN/>
        <w:bidi w:val="0"/>
        <w:spacing w:line="520" w:lineRule="exact"/>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 xml:space="preserve">    十、知识产权</w:t>
      </w:r>
    </w:p>
    <w:p w14:paraId="2F6E87D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仿宋_GB2312" w:hAnsi="仿宋_GB2312" w:eastAsia="仿宋_GB2312" w:cs="仿宋_GB2312"/>
          <w:color w:val="auto"/>
          <w:sz w:val="28"/>
          <w:szCs w:val="28"/>
          <w:highlight w:val="none"/>
          <w:u w:val="single"/>
          <w:lang w:val="en-US" w:eastAsia="zh-CN"/>
        </w:rPr>
        <w:t xml:space="preserve"> 10 </w:t>
      </w:r>
      <w:r>
        <w:rPr>
          <w:rFonts w:hint="eastAsia" w:ascii="仿宋_GB2312" w:hAnsi="仿宋_GB2312" w:eastAsia="仿宋_GB2312" w:cs="仿宋_GB2312"/>
          <w:color w:val="auto"/>
          <w:sz w:val="28"/>
          <w:szCs w:val="28"/>
          <w:highlight w:val="none"/>
          <w:lang w:val="en-US" w:eastAsia="zh-CN"/>
        </w:rPr>
        <w:t>%的违约金，给甲方造成损失的，乙方应予以赔偿。</w:t>
      </w:r>
    </w:p>
    <w:p w14:paraId="52FD744D">
      <w:pPr>
        <w:pStyle w:val="4"/>
        <w:rPr>
          <w:rFonts w:hint="eastAsia" w:ascii="仿宋_GB2312" w:hAnsi="仿宋_GB2312" w:eastAsia="仿宋_GB2312" w:cs="仿宋_GB2312"/>
          <w:highlight w:val="none"/>
          <w:lang w:eastAsia="zh-CN"/>
        </w:rPr>
      </w:pPr>
      <w:r>
        <w:rPr>
          <w:rFonts w:hint="eastAsia" w:ascii="仿宋_GB2312" w:hAnsi="仿宋_GB2312" w:eastAsia="仿宋_GB2312" w:cs="仿宋_GB2312"/>
          <w:b/>
          <w:bCs/>
          <w:color w:val="auto"/>
          <w:sz w:val="28"/>
          <w:szCs w:val="28"/>
          <w:highlight w:val="none"/>
          <w:lang w:val="en-US" w:eastAsia="zh-CN"/>
        </w:rPr>
        <w:t xml:space="preserve">     十一、违约责任</w:t>
      </w:r>
    </w:p>
    <w:p w14:paraId="6A4A1E9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（一）甲乙双方必须遵守本合同并执行合同中的各项规定，保证本合同的正常履行。</w:t>
      </w:r>
    </w:p>
    <w:p w14:paraId="56CFAB1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2CC5C3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3A25ED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（四）乙方逾期完成服务的，每逾期一日，向甲方承担合同总金额</w:t>
      </w:r>
      <w:r>
        <w:rPr>
          <w:rFonts w:hint="eastAsia" w:ascii="仿宋_GB2312" w:hAnsi="仿宋_GB2312" w:eastAsia="仿宋_GB2312" w:cs="仿宋_GB2312"/>
          <w:color w:val="auto"/>
          <w:sz w:val="28"/>
          <w:szCs w:val="28"/>
          <w:highlight w:val="none"/>
          <w:u w:val="single"/>
          <w:lang w:val="en-US" w:eastAsia="zh-CN"/>
        </w:rPr>
        <w:t xml:space="preserve"> 0.3</w:t>
      </w:r>
      <w:r>
        <w:rPr>
          <w:rFonts w:hint="eastAsia" w:ascii="仿宋_GB2312" w:hAnsi="仿宋_GB2312" w:eastAsia="仿宋_GB2312" w:cs="仿宋_GB2312"/>
          <w:color w:val="auto"/>
          <w:sz w:val="28"/>
          <w:szCs w:val="28"/>
          <w:highlight w:val="none"/>
          <w:lang w:val="en-US" w:eastAsia="zh-CN"/>
        </w:rPr>
        <w:t xml:space="preserve">%的违约金，逾期 </w:t>
      </w:r>
      <w:r>
        <w:rPr>
          <w:rFonts w:hint="eastAsia" w:ascii="仿宋_GB2312" w:hAnsi="仿宋_GB2312" w:eastAsia="仿宋_GB2312" w:cs="仿宋_GB2312"/>
          <w:color w:val="auto"/>
          <w:sz w:val="28"/>
          <w:szCs w:val="28"/>
          <w:highlight w:val="none"/>
          <w:u w:val="single"/>
          <w:lang w:val="en-US" w:eastAsia="zh-CN"/>
        </w:rPr>
        <w:t xml:space="preserve"> 30 </w:t>
      </w:r>
      <w:r>
        <w:rPr>
          <w:rFonts w:hint="eastAsia" w:ascii="仿宋_GB2312" w:hAnsi="仿宋_GB2312" w:eastAsia="仿宋_GB2312" w:cs="仿宋_GB2312"/>
          <w:color w:val="auto"/>
          <w:sz w:val="28"/>
          <w:szCs w:val="28"/>
          <w:highlight w:val="none"/>
          <w:lang w:val="en-US" w:eastAsia="zh-CN"/>
        </w:rPr>
        <w:t>日的，甲方有权单方解除本合同且保留追究乙方违约责任的权利，给甲方造成损失的，乙方还应予以赔偿。</w:t>
      </w:r>
    </w:p>
    <w:p w14:paraId="6A19B50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仿宋_GB2312" w:hAnsi="仿宋_GB2312" w:eastAsia="仿宋_GB2312" w:cs="仿宋_GB2312"/>
          <w:color w:val="auto"/>
          <w:sz w:val="28"/>
          <w:szCs w:val="28"/>
          <w:highlight w:val="none"/>
          <w:u w:val="single"/>
          <w:lang w:val="en-US" w:eastAsia="zh-CN"/>
        </w:rPr>
        <w:t xml:space="preserve"> 10 </w:t>
      </w:r>
      <w:r>
        <w:rPr>
          <w:rFonts w:hint="eastAsia" w:ascii="仿宋_GB2312" w:hAnsi="仿宋_GB2312" w:eastAsia="仿宋_GB2312" w:cs="仿宋_GB2312"/>
          <w:color w:val="auto"/>
          <w:sz w:val="28"/>
          <w:szCs w:val="28"/>
          <w:highlight w:val="none"/>
          <w:lang w:val="en-US" w:eastAsia="zh-CN"/>
        </w:rPr>
        <w:t>%的违约金。</w:t>
      </w:r>
    </w:p>
    <w:p w14:paraId="16FF1D9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仿宋_GB2312" w:hAnsi="仿宋_GB2312" w:eastAsia="仿宋_GB2312" w:cs="仿宋_GB2312"/>
          <w:color w:val="auto"/>
          <w:sz w:val="28"/>
          <w:szCs w:val="28"/>
          <w:highlight w:val="none"/>
          <w:u w:val="single"/>
          <w:lang w:val="en-US" w:eastAsia="zh-CN"/>
        </w:rPr>
        <w:t xml:space="preserve"> 10 </w:t>
      </w:r>
      <w:r>
        <w:rPr>
          <w:rFonts w:hint="eastAsia" w:ascii="仿宋_GB2312" w:hAnsi="仿宋_GB2312" w:eastAsia="仿宋_GB2312" w:cs="仿宋_GB2312"/>
          <w:color w:val="auto"/>
          <w:sz w:val="28"/>
          <w:szCs w:val="28"/>
          <w:highlight w:val="none"/>
          <w:lang w:val="en-US" w:eastAsia="zh-CN"/>
        </w:rPr>
        <w:t>%的违约金。</w:t>
      </w:r>
    </w:p>
    <w:p w14:paraId="2444DFD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F04448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（八）</w:t>
      </w:r>
      <w:r>
        <w:rPr>
          <w:rFonts w:hint="eastAsia" w:ascii="仿宋_GB2312" w:hAnsi="仿宋_GB2312" w:eastAsia="仿宋_GB2312" w:cs="仿宋_GB2312"/>
          <w:b w:val="0"/>
          <w:bCs w:val="0"/>
          <w:color w:val="auto"/>
          <w:sz w:val="28"/>
          <w:szCs w:val="28"/>
          <w:highlight w:val="none"/>
        </w:rPr>
        <w:t>乙方未按合同约定或甲方要求提供服务的，每出现一次应承担合同总价款</w:t>
      </w:r>
      <w:r>
        <w:rPr>
          <w:rFonts w:hint="eastAsia" w:ascii="仿宋_GB2312" w:hAnsi="仿宋_GB2312" w:eastAsia="仿宋_GB2312" w:cs="仿宋_GB2312"/>
          <w:b w:val="0"/>
          <w:bCs w:val="0"/>
          <w:color w:val="auto"/>
          <w:sz w:val="28"/>
          <w:szCs w:val="28"/>
          <w:highlight w:val="none"/>
          <w:lang w:val="en-US" w:eastAsia="zh-CN"/>
        </w:rPr>
        <w:t>10</w:t>
      </w:r>
      <w:r>
        <w:rPr>
          <w:rFonts w:hint="eastAsia" w:ascii="仿宋_GB2312" w:hAnsi="仿宋_GB2312" w:eastAsia="仿宋_GB2312" w:cs="仿宋_GB2312"/>
          <w:b w:val="0"/>
          <w:bCs w:val="0"/>
          <w:color w:val="auto"/>
          <w:sz w:val="28"/>
          <w:szCs w:val="28"/>
          <w:highlight w:val="none"/>
        </w:rPr>
        <w:t>%的违约金，出现</w:t>
      </w:r>
      <w:r>
        <w:rPr>
          <w:rFonts w:hint="eastAsia" w:ascii="仿宋_GB2312" w:hAnsi="仿宋_GB2312" w:eastAsia="仿宋_GB2312" w:cs="仿宋_GB2312"/>
          <w:b w:val="0"/>
          <w:bCs w:val="0"/>
          <w:color w:val="auto"/>
          <w:sz w:val="28"/>
          <w:szCs w:val="28"/>
          <w:highlight w:val="none"/>
          <w:lang w:val="en-US" w:eastAsia="zh-CN"/>
        </w:rPr>
        <w:t>2次以上</w:t>
      </w:r>
      <w:r>
        <w:rPr>
          <w:rFonts w:hint="eastAsia" w:ascii="仿宋_GB2312" w:hAnsi="仿宋_GB2312" w:eastAsia="仿宋_GB2312" w:cs="仿宋_GB2312"/>
          <w:b w:val="0"/>
          <w:bCs w:val="0"/>
          <w:color w:val="auto"/>
          <w:sz w:val="28"/>
          <w:szCs w:val="28"/>
          <w:highlight w:val="none"/>
        </w:rPr>
        <w:t>的，甲方有权单方解除本合同，给甲方造成损失的，乙方还应予以赔偿</w:t>
      </w:r>
      <w:r>
        <w:rPr>
          <w:rFonts w:hint="eastAsia" w:ascii="仿宋_GB2312" w:hAnsi="仿宋_GB2312" w:eastAsia="仿宋_GB2312" w:cs="仿宋_GB2312"/>
          <w:b w:val="0"/>
          <w:bCs w:val="0"/>
          <w:color w:val="auto"/>
          <w:sz w:val="28"/>
          <w:szCs w:val="28"/>
          <w:highlight w:val="none"/>
          <w:lang w:eastAsia="zh-CN"/>
        </w:rPr>
        <w:t>。</w:t>
      </w:r>
    </w:p>
    <w:p w14:paraId="79E78F3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6151AF3C">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十二、合同争议的解决</w:t>
      </w:r>
    </w:p>
    <w:p w14:paraId="78AE79D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53DC669A">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十三、不可抗力情况下的免责约定</w:t>
      </w:r>
    </w:p>
    <w:p w14:paraId="07BFBD8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07927E5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（一）在合同有效期内，任何一方因不可抗力事件导致不能履行合同，则合同履行期可延长，其延长期与不可抗力影响期相同。</w:t>
      </w:r>
    </w:p>
    <w:p w14:paraId="379E638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（二）不可抗力事件发生后，应立即通知对方，并寄送有关权威机构出具的证明。</w:t>
      </w:r>
    </w:p>
    <w:p w14:paraId="132F21F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（三）不可抗力事件延续60天以上，双方应通过友好协商，确定是否继续履行合同。</w:t>
      </w:r>
    </w:p>
    <w:p w14:paraId="7A59163D">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十四、合同订立</w:t>
      </w:r>
    </w:p>
    <w:p w14:paraId="51EE70F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6A35F88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278F32D9">
      <w:pPr>
        <w:pStyle w:val="2"/>
        <w:rPr>
          <w:rFonts w:hint="eastAsia" w:ascii="仿宋_GB2312" w:hAnsi="仿宋_GB2312" w:eastAsia="仿宋_GB2312" w:cs="仿宋_GB2312"/>
          <w:highlight w:val="none"/>
          <w:lang w:val="en-US" w:eastAsia="zh-CN"/>
        </w:rPr>
      </w:pPr>
    </w:p>
    <w:p w14:paraId="35F9C9C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（三）本合同自双方的法定代表人（负责人）或授权代表签字并加盖单位公章之日起生效。</w:t>
      </w:r>
    </w:p>
    <w:p w14:paraId="30BD6D1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（四）本合同一式</w:t>
      </w:r>
      <w:r>
        <w:rPr>
          <w:rFonts w:hint="eastAsia" w:ascii="仿宋_GB2312" w:hAnsi="仿宋_GB2312" w:eastAsia="仿宋_GB2312" w:cs="仿宋_GB2312"/>
          <w:color w:val="auto"/>
          <w:sz w:val="28"/>
          <w:szCs w:val="28"/>
          <w:highlight w:val="none"/>
          <w:u w:val="single"/>
          <w:lang w:val="en-US" w:eastAsia="zh-CN"/>
        </w:rPr>
        <w:t xml:space="preserve"> 捌 </w:t>
      </w:r>
      <w:r>
        <w:rPr>
          <w:rFonts w:hint="eastAsia" w:ascii="仿宋_GB2312" w:hAnsi="仿宋_GB2312" w:eastAsia="仿宋_GB2312" w:cs="仿宋_GB2312"/>
          <w:color w:val="auto"/>
          <w:sz w:val="28"/>
          <w:szCs w:val="28"/>
          <w:highlight w:val="none"/>
          <w:lang w:val="en-US" w:eastAsia="zh-CN"/>
        </w:rPr>
        <w:t>份，其中，甲方执</w:t>
      </w:r>
      <w:r>
        <w:rPr>
          <w:rFonts w:hint="eastAsia" w:ascii="仿宋_GB2312" w:hAnsi="仿宋_GB2312" w:eastAsia="仿宋_GB2312" w:cs="仿宋_GB2312"/>
          <w:color w:val="auto"/>
          <w:sz w:val="28"/>
          <w:szCs w:val="28"/>
          <w:highlight w:val="none"/>
          <w:u w:val="single"/>
          <w:lang w:val="en-US" w:eastAsia="zh-CN"/>
        </w:rPr>
        <w:t xml:space="preserve"> 肆 </w:t>
      </w:r>
      <w:r>
        <w:rPr>
          <w:rFonts w:hint="eastAsia" w:ascii="仿宋_GB2312" w:hAnsi="仿宋_GB2312" w:eastAsia="仿宋_GB2312" w:cs="仿宋_GB2312"/>
          <w:color w:val="auto"/>
          <w:sz w:val="28"/>
          <w:szCs w:val="28"/>
          <w:highlight w:val="none"/>
          <w:lang w:val="en-US" w:eastAsia="zh-CN"/>
        </w:rPr>
        <w:t>份，乙方执</w:t>
      </w:r>
      <w:r>
        <w:rPr>
          <w:rFonts w:hint="eastAsia" w:ascii="仿宋_GB2312" w:hAnsi="仿宋_GB2312" w:eastAsia="仿宋_GB2312" w:cs="仿宋_GB2312"/>
          <w:color w:val="auto"/>
          <w:sz w:val="28"/>
          <w:szCs w:val="28"/>
          <w:highlight w:val="none"/>
          <w:u w:val="single"/>
          <w:lang w:val="en-US" w:eastAsia="zh-CN"/>
        </w:rPr>
        <w:t xml:space="preserve"> 肆 </w:t>
      </w:r>
      <w:r>
        <w:rPr>
          <w:rFonts w:hint="eastAsia" w:ascii="仿宋_GB2312" w:hAnsi="仿宋_GB2312" w:eastAsia="仿宋_GB2312" w:cs="仿宋_GB2312"/>
          <w:color w:val="auto"/>
          <w:sz w:val="28"/>
          <w:szCs w:val="28"/>
          <w:highlight w:val="none"/>
          <w:lang w:val="en-US" w:eastAsia="zh-CN"/>
        </w:rPr>
        <w:t>份，具有同等法律效力。</w:t>
      </w:r>
    </w:p>
    <w:p w14:paraId="4065DA64">
      <w:pPr>
        <w:pageBreakBefore w:val="0"/>
        <w:widowControl w:val="0"/>
        <w:wordWrap/>
        <w:overflowPunct/>
        <w:topLinePunct w:val="0"/>
        <w:autoSpaceDE/>
        <w:autoSpaceDN/>
        <w:bidi w:val="0"/>
        <w:spacing w:line="520" w:lineRule="exact"/>
        <w:jc w:val="both"/>
        <w:textAlignment w:val="auto"/>
        <w:rPr>
          <w:rFonts w:hint="eastAsia" w:ascii="仿宋_GB2312" w:hAnsi="仿宋_GB2312" w:eastAsia="仿宋_GB2312" w:cs="仿宋_GB2312"/>
          <w:color w:val="auto"/>
          <w:kern w:val="2"/>
          <w:sz w:val="28"/>
          <w:szCs w:val="28"/>
          <w:highlight w:val="none"/>
          <w:lang w:val="en-US" w:eastAsia="zh-CN" w:bidi="ar-SA"/>
        </w:rPr>
      </w:pPr>
    </w:p>
    <w:p w14:paraId="7119D095">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u w:val="single"/>
          <w:lang w:val="en-US" w:eastAsia="zh-CN"/>
        </w:rPr>
        <w:t xml:space="preserve">      陕西省公路局（盖章）       </w:t>
      </w:r>
      <w:r>
        <w:rPr>
          <w:rFonts w:hint="eastAsia" w:ascii="仿宋_GB2312" w:hAnsi="仿宋_GB2312" w:eastAsia="仿宋_GB2312" w:cs="仿宋_GB2312"/>
          <w:color w:val="auto"/>
          <w:sz w:val="28"/>
          <w:szCs w:val="28"/>
          <w:highlight w:val="none"/>
          <w:lang w:val="en-US" w:eastAsia="zh-CN"/>
        </w:rPr>
        <w:t xml:space="preserve">                  </w:t>
      </w:r>
    </w:p>
    <w:p w14:paraId="1C6327BB">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地 址：陕西省西安市碑林区含光北路110号 </w:t>
      </w:r>
    </w:p>
    <w:p w14:paraId="74C1EAD9">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开户行及账号：611301033018010000003</w:t>
      </w:r>
    </w:p>
    <w:p w14:paraId="181E2CFF">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交通银行西安城南支行                                   </w:t>
      </w:r>
    </w:p>
    <w:p w14:paraId="78D4557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法定代表人或其授权                   </w:t>
      </w:r>
    </w:p>
    <w:p w14:paraId="79A5D78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 xml:space="preserve">的代理人：（签字） </w:t>
      </w:r>
      <w:r>
        <w:rPr>
          <w:rFonts w:hint="eastAsia" w:ascii="仿宋_GB2312" w:hAnsi="仿宋_GB2312" w:eastAsia="仿宋_GB2312" w:cs="仿宋_GB2312"/>
          <w:color w:val="auto"/>
          <w:sz w:val="28"/>
          <w:szCs w:val="28"/>
          <w:highlight w:val="none"/>
          <w:u w:val="single"/>
          <w:lang w:val="en-US" w:eastAsia="zh-CN"/>
        </w:rPr>
        <w:t xml:space="preserve">                    </w:t>
      </w:r>
    </w:p>
    <w:p w14:paraId="349418EC">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_GB2312" w:hAnsi="仿宋_GB2312" w:eastAsia="仿宋_GB2312" w:cs="仿宋_GB2312"/>
          <w:color w:val="auto"/>
          <w:sz w:val="28"/>
          <w:szCs w:val="28"/>
          <w:highlight w:val="none"/>
          <w:lang w:val="en-US" w:eastAsia="zh-Hans"/>
        </w:rPr>
      </w:pPr>
      <w:r>
        <w:rPr>
          <w:rFonts w:hint="eastAsia" w:ascii="仿宋_GB2312" w:hAnsi="仿宋_GB2312" w:eastAsia="仿宋_GB2312" w:cs="仿宋_GB2312"/>
          <w:highlight w:val="none"/>
          <w:lang w:val="en-US" w:eastAsia="zh-CN"/>
        </w:rPr>
        <w:t xml:space="preserve">          </w:t>
      </w:r>
    </w:p>
    <w:p w14:paraId="199DE5F7">
      <w:pPr>
        <w:pStyle w:val="8"/>
        <w:pageBreakBefore w:val="0"/>
        <w:wordWrap/>
        <w:overflowPunct/>
        <w:topLinePunct w:val="0"/>
        <w:autoSpaceDE/>
        <w:autoSpaceDN/>
        <w:bidi w:val="0"/>
        <w:spacing w:line="520" w:lineRule="exac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乙  方</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（盖章）</w:t>
      </w:r>
    </w:p>
    <w:p w14:paraId="13EAD213">
      <w:pPr>
        <w:pStyle w:val="8"/>
        <w:pageBreakBefore w:val="0"/>
        <w:wordWrap/>
        <w:overflowPunct/>
        <w:topLinePunct w:val="0"/>
        <w:autoSpaceDE/>
        <w:autoSpaceDN/>
        <w:bidi w:val="0"/>
        <w:spacing w:line="520" w:lineRule="exac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地  址：</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p>
    <w:p w14:paraId="383F7C27">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bCs/>
          <w:color w:val="auto"/>
          <w:sz w:val="28"/>
          <w:szCs w:val="28"/>
          <w:highlight w:val="none"/>
          <w:u w:val="single"/>
          <w:lang w:val="en-US" w:eastAsia="zh-CN" w:bidi="ar"/>
        </w:rPr>
      </w:pPr>
      <w:r>
        <w:rPr>
          <w:rFonts w:hint="eastAsia" w:ascii="仿宋_GB2312" w:hAnsi="仿宋_GB2312" w:eastAsia="仿宋_GB2312" w:cs="仿宋_GB2312"/>
          <w:color w:val="auto"/>
          <w:sz w:val="28"/>
          <w:szCs w:val="28"/>
          <w:highlight w:val="none"/>
          <w:lang w:val="en-US" w:eastAsia="zh-CN"/>
        </w:rPr>
        <w:t>开户行：</w:t>
      </w:r>
      <w:r>
        <w:rPr>
          <w:rFonts w:hint="eastAsia" w:ascii="仿宋_GB2312" w:hAnsi="仿宋_GB2312" w:eastAsia="仿宋_GB2312" w:cs="仿宋_GB2312"/>
          <w:bCs/>
          <w:color w:val="auto"/>
          <w:sz w:val="28"/>
          <w:szCs w:val="28"/>
          <w:highlight w:val="none"/>
          <w:u w:val="single"/>
          <w:lang w:val="en-US" w:eastAsia="zh-CN" w:bidi="ar"/>
        </w:rPr>
        <w:t xml:space="preserve">                               </w:t>
      </w:r>
    </w:p>
    <w:p w14:paraId="6EC3CFB3">
      <w:pPr>
        <w:ind w:firstLine="1400" w:firstLineChars="5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bidi="ar"/>
        </w:rPr>
        <w:t xml:space="preserve">账 </w:t>
      </w:r>
      <w:r>
        <w:rPr>
          <w:rFonts w:hint="eastAsia" w:ascii="仿宋_GB2312" w:hAnsi="仿宋_GB2312" w:eastAsia="仿宋_GB2312" w:cs="仿宋_GB2312"/>
          <w:bCs/>
          <w:color w:val="auto"/>
          <w:sz w:val="28"/>
          <w:szCs w:val="28"/>
          <w:highlight w:val="none"/>
          <w:lang w:val="en-US" w:eastAsia="zh-CN" w:bidi="ar"/>
        </w:rPr>
        <w:t xml:space="preserve"> </w:t>
      </w:r>
      <w:r>
        <w:rPr>
          <w:rFonts w:hint="eastAsia" w:ascii="仿宋_GB2312" w:hAnsi="仿宋_GB2312" w:eastAsia="仿宋_GB2312" w:cs="仿宋_GB2312"/>
          <w:bCs/>
          <w:color w:val="auto"/>
          <w:sz w:val="28"/>
          <w:szCs w:val="28"/>
          <w:highlight w:val="none"/>
          <w:lang w:bidi="ar"/>
        </w:rPr>
        <w:t>号：</w:t>
      </w:r>
      <w:r>
        <w:rPr>
          <w:rFonts w:hint="eastAsia" w:ascii="仿宋_GB2312" w:hAnsi="仿宋_GB2312" w:eastAsia="仿宋_GB2312" w:cs="仿宋_GB2312"/>
          <w:bCs/>
          <w:color w:val="auto"/>
          <w:sz w:val="28"/>
          <w:szCs w:val="28"/>
          <w:highlight w:val="none"/>
          <w:u w:val="single"/>
          <w:lang w:val="en-US" w:eastAsia="zh-CN" w:bidi="ar"/>
        </w:rPr>
        <w:t xml:space="preserve">                               </w:t>
      </w:r>
      <w:r>
        <w:rPr>
          <w:rFonts w:hint="eastAsia" w:ascii="仿宋_GB2312" w:hAnsi="仿宋_GB2312" w:eastAsia="仿宋_GB2312" w:cs="仿宋_GB2312"/>
          <w:color w:val="auto"/>
          <w:sz w:val="28"/>
          <w:szCs w:val="28"/>
          <w:highlight w:val="none"/>
          <w:lang w:val="en-US" w:eastAsia="zh-CN"/>
        </w:rPr>
        <w:t xml:space="preserve">     </w:t>
      </w:r>
    </w:p>
    <w:p w14:paraId="73A53CD5">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法定代表人或其授权                   </w:t>
      </w:r>
    </w:p>
    <w:p w14:paraId="291D361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 xml:space="preserve">的代理人：（签字） </w:t>
      </w:r>
      <w:r>
        <w:rPr>
          <w:rFonts w:hint="eastAsia" w:ascii="仿宋_GB2312" w:hAnsi="仿宋_GB2312" w:eastAsia="仿宋_GB2312" w:cs="仿宋_GB2312"/>
          <w:color w:val="auto"/>
          <w:sz w:val="28"/>
          <w:szCs w:val="28"/>
          <w:highlight w:val="none"/>
          <w:u w:val="single"/>
          <w:lang w:val="en-US" w:eastAsia="zh-CN"/>
        </w:rPr>
        <w:t xml:space="preserve">                    </w:t>
      </w:r>
    </w:p>
    <w:p w14:paraId="5A7D6614">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highlight w:val="none"/>
          <w:lang w:val="en-US" w:eastAsia="zh-CN"/>
        </w:rPr>
        <w:t xml:space="preserve">                                                       </w:t>
      </w:r>
      <w:r>
        <w:rPr>
          <w:rFonts w:hint="eastAsia" w:ascii="仿宋_GB2312" w:hAnsi="仿宋_GB2312" w:eastAsia="仿宋_GB2312" w:cs="仿宋_GB2312"/>
          <w:color w:val="auto"/>
          <w:sz w:val="28"/>
          <w:szCs w:val="28"/>
          <w:highlight w:val="none"/>
          <w:lang w:val="en-US" w:eastAsia="zh-Hans"/>
        </w:rPr>
        <w:t xml:space="preserve">年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val="en-US" w:eastAsia="zh-Hans"/>
        </w:rPr>
        <w:t>月</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val="en-US" w:eastAsia="zh-Hans"/>
        </w:rPr>
        <w:t>日</w:t>
      </w:r>
    </w:p>
    <w:p w14:paraId="2DD452D6">
      <w:pPr>
        <w:spacing w:line="520" w:lineRule="exact"/>
        <w:ind w:firstLine="420"/>
        <w:rPr>
          <w:rFonts w:ascii="宋体" w:hAnsi="宋体" w:eastAsia="宋体" w:cs="宋体"/>
          <w:sz w:val="28"/>
          <w:szCs w:val="28"/>
          <w:highlight w:val="none"/>
        </w:rPr>
      </w:pPr>
    </w:p>
    <w:p w14:paraId="67A8D453">
      <w:pPr>
        <w:pStyle w:val="2"/>
        <w:rPr>
          <w:highlight w:val="none"/>
        </w:rPr>
      </w:pPr>
    </w:p>
    <w:p w14:paraId="700F3822">
      <w:pPr>
        <w:pStyle w:val="8"/>
        <w:rPr>
          <w:rFonts w:hint="default" w:eastAsia="仿宋_GB2312"/>
          <w:highlight w:val="none"/>
          <w:lang w:eastAsia="zh-CN"/>
        </w:rPr>
      </w:pPr>
    </w:p>
    <w:p w14:paraId="2B59352E">
      <w:pPr>
        <w:rPr>
          <w:highlight w:val="none"/>
        </w:rPr>
      </w:pPr>
    </w:p>
    <w:bookmarkEnd w:id="0"/>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00AE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0D2CA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90D2CA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41D45"/>
    <w:rsid w:val="2B6A2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after="290" w:line="372" w:lineRule="auto"/>
      <w:jc w:val="center"/>
      <w:outlineLvl w:val="3"/>
    </w:pPr>
    <w:rPr>
      <w:rFonts w:ascii="Arial" w:hAnsi="Arial"/>
      <w:b/>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annotation text"/>
    <w:basedOn w:val="1"/>
    <w:qFormat/>
    <w:uiPriority w:val="0"/>
    <w:pPr>
      <w:jc w:val="left"/>
    </w:pPr>
  </w:style>
  <w:style w:type="paragraph" w:styleId="5">
    <w:name w:val="footer"/>
    <w:basedOn w:val="1"/>
    <w:qFormat/>
    <w:uiPriority w:val="99"/>
    <w:pPr>
      <w:tabs>
        <w:tab w:val="center" w:pos="4153"/>
        <w:tab w:val="right" w:pos="8306"/>
      </w:tabs>
      <w:snapToGrid w:val="0"/>
      <w:jc w:val="left"/>
    </w:pPr>
    <w:rPr>
      <w:rFonts w:ascii="Calibri" w:hAnsi="Calibri"/>
      <w:kern w:val="0"/>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3511</Words>
  <Characters>3593</Characters>
  <Lines>0</Lines>
  <Paragraphs>0</Paragraphs>
  <TotalTime>0</TotalTime>
  <ScaleCrop>false</ScaleCrop>
  <LinksUpToDate>false</LinksUpToDate>
  <CharactersWithSpaces>4288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2026-05-13T12:39:00Z</dcterms:created>
  <dc:creator>pc</dc:creator>
  <cp:lastModifiedBy>简简单单ヾ</cp:lastModifiedBy>
  <dcterms:modified xsi:type="dcterms:W3CDTF">2026-05-13T12:44:10Z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eyJoZGlkIjoiMjJkZjQ0MmE5YTViY2U2ODJhMWI1ZDMyNTJmYWNiOTciLCJ1c2VySWQiOiI0Mjg2MTgwMjkifQ==</vt:lpwstr>
  </property>
  <property fmtid="{D5CDD505-2E9C-101B-9397-08002B2CF9AE}" pid="4" name="ICV">
    <vt:lpwstr>84FADFFDDB3A4B0BAFBA965527F9098C_12</vt:lpwstr>
  </property>
</Properties>
</file>