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2E809B20">
      <w:pPr>
        <w:pStyle w:val="4"/>
        <w:outlineLvl w:val="2"/>
        <w:rPr>
          <w:highlight w:val="none"/>
        </w:rPr>
      </w:pPr>
      <w:r>
        <w:rPr>
          <w:b/>
          <w:sz w:val="28"/>
          <w:highlight w:val="none"/>
        </w:rPr>
        <w:t>3.1采购项目概况</w:t>
      </w:r>
    </w:p>
    <w:p w14:paraId="57C6102E">
      <w:pPr>
        <w:pStyle w:val="4"/>
        <w:ind w:firstLine="480"/>
        <w:rPr>
          <w:highlight w:val="none"/>
        </w:rPr>
      </w:pPr>
      <w:r>
        <w:rPr>
          <w:rFonts w:hint="eastAsia"/>
          <w:highlight w:val="none"/>
        </w:rPr>
        <w:t>本项目为</w:t>
      </w:r>
      <w:r>
        <w:rPr>
          <w:rFonts w:hint="eastAsia"/>
          <w:highlight w:val="none"/>
          <w:lang w:eastAsia="zh-CN"/>
        </w:rPr>
        <w:t>2026年快速干道桥梁定期检测</w:t>
      </w:r>
      <w:r>
        <w:rPr>
          <w:rFonts w:hint="eastAsia"/>
          <w:highlight w:val="none"/>
        </w:rPr>
        <w:t>服务，主要对快速干道所属桥梁进行全面、系统的定期检测，包括结构检测、结构检算、特殊检测等，出具符合规范要求且具有法律效力的检测报告，为桥梁养护、应急抢险及维修加固提供科学依据。</w:t>
      </w:r>
    </w:p>
    <w:p w14:paraId="695C2325">
      <w:pPr>
        <w:pStyle w:val="4"/>
        <w:outlineLvl w:val="2"/>
        <w:rPr>
          <w:highlight w:val="none"/>
        </w:rPr>
      </w:pPr>
      <w:r>
        <w:rPr>
          <w:b/>
          <w:sz w:val="28"/>
          <w:highlight w:val="none"/>
        </w:rPr>
        <w:t>3.2服务内容及服务要求</w:t>
      </w:r>
    </w:p>
    <w:p w14:paraId="624612BB">
      <w:pPr>
        <w:pStyle w:val="4"/>
        <w:outlineLvl w:val="3"/>
        <w:rPr>
          <w:highlight w:val="none"/>
        </w:rPr>
      </w:pPr>
      <w:r>
        <w:rPr>
          <w:b/>
          <w:sz w:val="24"/>
          <w:highlight w:val="none"/>
        </w:rPr>
        <w:t>3.2.1服务内容</w:t>
      </w:r>
    </w:p>
    <w:tbl>
      <w:tblPr>
        <w:tblStyle w:val="2"/>
        <w:tblW w:w="0" w:type="auto"/>
        <w:tblInd w:w="0" w:type="dxa"/>
        <w:tblBorders>
          <w:top w:val="single" w:color="auto" w:sz="0" w:space="0"/>
          <w:left w:val="single" w:color="auto" w:sz="0" w:space="0"/>
          <w:bottom w:val="single" w:color="auto" w:sz="0" w:space="0"/>
          <w:right w:val="single" w:color="auto" w:sz="0" w:space="0"/>
          <w:insideH w:val="single" w:color="auto" w:sz="0" w:space="0"/>
          <w:insideV w:val="single" w:color="auto" w:sz="0" w:space="0"/>
        </w:tblBorders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820"/>
        <w:gridCol w:w="825"/>
        <w:gridCol w:w="823"/>
        <w:gridCol w:w="1128"/>
        <w:gridCol w:w="821"/>
        <w:gridCol w:w="821"/>
        <w:gridCol w:w="821"/>
        <w:gridCol w:w="821"/>
        <w:gridCol w:w="821"/>
        <w:gridCol w:w="821"/>
      </w:tblGrid>
      <w:tr w14:paraId="1A147A20">
        <w:tblPrEx>
          <w:tblBorders>
            <w:top w:val="single" w:color="auto" w:sz="0" w:space="0"/>
            <w:left w:val="single" w:color="auto" w:sz="0" w:space="0"/>
            <w:bottom w:val="single" w:color="auto" w:sz="0" w:space="0"/>
            <w:right w:val="single" w:color="auto" w:sz="0" w:space="0"/>
            <w:insideH w:val="single" w:color="auto" w:sz="0" w:space="0"/>
            <w:insideV w:val="singl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831" w:type="dxa"/>
          </w:tcPr>
          <w:p w14:paraId="2E3CDE5E">
            <w:pPr>
              <w:pStyle w:val="4"/>
              <w:rPr>
                <w:highlight w:val="none"/>
              </w:rPr>
            </w:pPr>
            <w:bookmarkStart w:id="0" w:name="_GoBack"/>
            <w:bookmarkEnd w:id="0"/>
            <w:r>
              <w:rPr>
                <w:highlight w:val="none"/>
              </w:rPr>
              <w:t>序号</w:t>
            </w:r>
          </w:p>
        </w:tc>
        <w:tc>
          <w:tcPr>
            <w:tcW w:w="831" w:type="dxa"/>
          </w:tcPr>
          <w:p w14:paraId="3F8FF6FF">
            <w:pPr>
              <w:pStyle w:val="4"/>
              <w:rPr>
                <w:highlight w:val="none"/>
              </w:rPr>
            </w:pPr>
            <w:r>
              <w:rPr>
                <w:highlight w:val="none"/>
              </w:rPr>
              <w:t>标的名称</w:t>
            </w:r>
          </w:p>
        </w:tc>
        <w:tc>
          <w:tcPr>
            <w:tcW w:w="831" w:type="dxa"/>
          </w:tcPr>
          <w:p w14:paraId="02701898">
            <w:pPr>
              <w:pStyle w:val="4"/>
              <w:rPr>
                <w:highlight w:val="none"/>
              </w:rPr>
            </w:pPr>
            <w:r>
              <w:rPr>
                <w:highlight w:val="none"/>
              </w:rPr>
              <w:t>数量</w:t>
            </w:r>
          </w:p>
        </w:tc>
        <w:tc>
          <w:tcPr>
            <w:tcW w:w="831" w:type="dxa"/>
          </w:tcPr>
          <w:p w14:paraId="73B7932F">
            <w:pPr>
              <w:pStyle w:val="4"/>
              <w:rPr>
                <w:highlight w:val="none"/>
              </w:rPr>
            </w:pPr>
            <w:r>
              <w:rPr>
                <w:highlight w:val="none"/>
              </w:rPr>
              <w:t>标的金额 （元）</w:t>
            </w:r>
          </w:p>
        </w:tc>
        <w:tc>
          <w:tcPr>
            <w:tcW w:w="831" w:type="dxa"/>
          </w:tcPr>
          <w:p w14:paraId="73B0C13C">
            <w:pPr>
              <w:pStyle w:val="4"/>
              <w:rPr>
                <w:highlight w:val="none"/>
              </w:rPr>
            </w:pPr>
            <w:r>
              <w:rPr>
                <w:highlight w:val="none"/>
              </w:rPr>
              <w:t>计量单位</w:t>
            </w:r>
          </w:p>
        </w:tc>
        <w:tc>
          <w:tcPr>
            <w:tcW w:w="831" w:type="dxa"/>
          </w:tcPr>
          <w:p w14:paraId="70B83CD9">
            <w:pPr>
              <w:pStyle w:val="4"/>
              <w:rPr>
                <w:highlight w:val="none"/>
              </w:rPr>
            </w:pPr>
            <w:r>
              <w:rPr>
                <w:highlight w:val="none"/>
              </w:rPr>
              <w:t>所属行业</w:t>
            </w:r>
          </w:p>
        </w:tc>
        <w:tc>
          <w:tcPr>
            <w:tcW w:w="831" w:type="dxa"/>
          </w:tcPr>
          <w:p w14:paraId="0E000882">
            <w:pPr>
              <w:pStyle w:val="4"/>
              <w:rPr>
                <w:highlight w:val="none"/>
              </w:rPr>
            </w:pPr>
            <w:r>
              <w:rPr>
                <w:highlight w:val="none"/>
              </w:rPr>
              <w:t>是否核心产品</w:t>
            </w:r>
          </w:p>
        </w:tc>
        <w:tc>
          <w:tcPr>
            <w:tcW w:w="831" w:type="dxa"/>
          </w:tcPr>
          <w:p w14:paraId="03509523">
            <w:pPr>
              <w:pStyle w:val="4"/>
              <w:rPr>
                <w:highlight w:val="none"/>
              </w:rPr>
            </w:pPr>
            <w:r>
              <w:rPr>
                <w:highlight w:val="none"/>
              </w:rPr>
              <w:t>是否允许进口产品</w:t>
            </w:r>
          </w:p>
        </w:tc>
        <w:tc>
          <w:tcPr>
            <w:tcW w:w="831" w:type="dxa"/>
          </w:tcPr>
          <w:p w14:paraId="247381E1">
            <w:pPr>
              <w:pStyle w:val="4"/>
              <w:rPr>
                <w:highlight w:val="none"/>
              </w:rPr>
            </w:pPr>
            <w:r>
              <w:rPr>
                <w:highlight w:val="none"/>
              </w:rPr>
              <w:t>是否属于节能产品</w:t>
            </w:r>
          </w:p>
        </w:tc>
        <w:tc>
          <w:tcPr>
            <w:tcW w:w="831" w:type="dxa"/>
          </w:tcPr>
          <w:p w14:paraId="75067A2F">
            <w:pPr>
              <w:pStyle w:val="4"/>
              <w:rPr>
                <w:highlight w:val="none"/>
              </w:rPr>
            </w:pPr>
            <w:r>
              <w:rPr>
                <w:highlight w:val="none"/>
              </w:rPr>
              <w:t>是否属于环境标志产品</w:t>
            </w:r>
          </w:p>
        </w:tc>
      </w:tr>
      <w:tr w14:paraId="35B727C3">
        <w:tblPrEx>
          <w:tblBorders>
            <w:top w:val="single" w:color="auto" w:sz="0" w:space="0"/>
            <w:left w:val="single" w:color="auto" w:sz="0" w:space="0"/>
            <w:bottom w:val="single" w:color="auto" w:sz="0" w:space="0"/>
            <w:right w:val="single" w:color="auto" w:sz="0" w:space="0"/>
            <w:insideH w:val="single" w:color="auto" w:sz="0" w:space="0"/>
            <w:insideV w:val="singl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831" w:type="dxa"/>
          </w:tcPr>
          <w:p w14:paraId="461DC05B">
            <w:pPr>
              <w:pStyle w:val="4"/>
              <w:rPr>
                <w:highlight w:val="none"/>
              </w:rPr>
            </w:pPr>
            <w:r>
              <w:rPr>
                <w:highlight w:val="none"/>
              </w:rPr>
              <w:t>1</w:t>
            </w:r>
          </w:p>
        </w:tc>
        <w:tc>
          <w:tcPr>
            <w:tcW w:w="831" w:type="dxa"/>
          </w:tcPr>
          <w:p w14:paraId="177B6AE2">
            <w:pPr>
              <w:pStyle w:val="4"/>
              <w:rPr>
                <w:rFonts w:hint="default" w:eastAsiaTheme="minorEastAsia"/>
                <w:highlight w:val="none"/>
                <w:lang w:val="en-US" w:eastAsia="zh-CN"/>
              </w:rPr>
            </w:pPr>
            <w:r>
              <w:rPr>
                <w:rFonts w:hint="eastAsia"/>
                <w:highlight w:val="none"/>
                <w:lang w:val="en-US" w:eastAsia="zh-CN"/>
              </w:rPr>
              <w:t>2026年快速干道桥梁定期检测</w:t>
            </w:r>
          </w:p>
        </w:tc>
        <w:tc>
          <w:tcPr>
            <w:tcW w:w="831" w:type="dxa"/>
          </w:tcPr>
          <w:p w14:paraId="10F0C1B3">
            <w:pPr>
              <w:pStyle w:val="4"/>
              <w:jc w:val="right"/>
              <w:rPr>
                <w:highlight w:val="none"/>
              </w:rPr>
            </w:pPr>
            <w:r>
              <w:rPr>
                <w:highlight w:val="none"/>
              </w:rPr>
              <w:t>1.00</w:t>
            </w:r>
          </w:p>
        </w:tc>
        <w:tc>
          <w:tcPr>
            <w:tcW w:w="831" w:type="dxa"/>
          </w:tcPr>
          <w:p w14:paraId="78A463F2">
            <w:pPr>
              <w:pStyle w:val="4"/>
              <w:jc w:val="right"/>
              <w:rPr>
                <w:highlight w:val="none"/>
              </w:rPr>
            </w:pPr>
            <w:r>
              <w:rPr>
                <w:rFonts w:hint="eastAsia"/>
                <w:highlight w:val="none"/>
                <w:lang w:val="en-US" w:eastAsia="zh-CN"/>
              </w:rPr>
              <w:t>450</w:t>
            </w:r>
            <w:r>
              <w:rPr>
                <w:highlight w:val="none"/>
              </w:rPr>
              <w:t>,</w:t>
            </w:r>
            <w:r>
              <w:rPr>
                <w:rFonts w:hint="eastAsia"/>
                <w:highlight w:val="none"/>
                <w:lang w:val="en-US" w:eastAsia="zh-CN"/>
              </w:rPr>
              <w:t>0</w:t>
            </w:r>
            <w:r>
              <w:rPr>
                <w:highlight w:val="none"/>
              </w:rPr>
              <w:t>00.00</w:t>
            </w:r>
          </w:p>
        </w:tc>
        <w:tc>
          <w:tcPr>
            <w:tcW w:w="831" w:type="dxa"/>
          </w:tcPr>
          <w:p w14:paraId="60AFAF7A">
            <w:pPr>
              <w:pStyle w:val="4"/>
              <w:rPr>
                <w:highlight w:val="none"/>
              </w:rPr>
            </w:pPr>
            <w:r>
              <w:rPr>
                <w:highlight w:val="none"/>
              </w:rPr>
              <w:t>项</w:t>
            </w:r>
          </w:p>
        </w:tc>
        <w:tc>
          <w:tcPr>
            <w:tcW w:w="831" w:type="dxa"/>
          </w:tcPr>
          <w:p w14:paraId="6472CA1E">
            <w:pPr>
              <w:pStyle w:val="4"/>
              <w:rPr>
                <w:highlight w:val="none"/>
              </w:rPr>
            </w:pPr>
            <w:r>
              <w:rPr>
                <w:highlight w:val="none"/>
              </w:rPr>
              <w:t>其他未列明行业</w:t>
            </w:r>
          </w:p>
        </w:tc>
        <w:tc>
          <w:tcPr>
            <w:tcW w:w="831" w:type="dxa"/>
          </w:tcPr>
          <w:p w14:paraId="7B0825BD">
            <w:pPr>
              <w:pStyle w:val="4"/>
              <w:rPr>
                <w:highlight w:val="none"/>
              </w:rPr>
            </w:pPr>
            <w:r>
              <w:rPr>
                <w:highlight w:val="none"/>
              </w:rPr>
              <w:t>否</w:t>
            </w:r>
          </w:p>
        </w:tc>
        <w:tc>
          <w:tcPr>
            <w:tcW w:w="831" w:type="dxa"/>
          </w:tcPr>
          <w:p w14:paraId="31A211A2">
            <w:pPr>
              <w:pStyle w:val="4"/>
              <w:rPr>
                <w:highlight w:val="none"/>
              </w:rPr>
            </w:pPr>
            <w:r>
              <w:rPr>
                <w:highlight w:val="none"/>
              </w:rPr>
              <w:t>否</w:t>
            </w:r>
          </w:p>
        </w:tc>
        <w:tc>
          <w:tcPr>
            <w:tcW w:w="831" w:type="dxa"/>
          </w:tcPr>
          <w:p w14:paraId="469C72F0">
            <w:pPr>
              <w:pStyle w:val="4"/>
              <w:rPr>
                <w:highlight w:val="none"/>
              </w:rPr>
            </w:pPr>
            <w:r>
              <w:rPr>
                <w:highlight w:val="none"/>
              </w:rPr>
              <w:t>否</w:t>
            </w:r>
          </w:p>
        </w:tc>
        <w:tc>
          <w:tcPr>
            <w:tcW w:w="831" w:type="dxa"/>
          </w:tcPr>
          <w:p w14:paraId="6393EFFB">
            <w:pPr>
              <w:pStyle w:val="4"/>
              <w:rPr>
                <w:highlight w:val="none"/>
              </w:rPr>
            </w:pPr>
            <w:r>
              <w:rPr>
                <w:highlight w:val="none"/>
              </w:rPr>
              <w:t>否</w:t>
            </w:r>
          </w:p>
        </w:tc>
      </w:tr>
    </w:tbl>
    <w:p w14:paraId="08BEC5E9">
      <w:pPr>
        <w:pStyle w:val="4"/>
        <w:outlineLvl w:val="2"/>
        <w:rPr>
          <w:highlight w:val="none"/>
        </w:rPr>
      </w:pPr>
      <w:r>
        <w:rPr>
          <w:b/>
          <w:sz w:val="28"/>
          <w:highlight w:val="none"/>
        </w:rPr>
        <w:t>3.2.2服务要求</w:t>
      </w:r>
    </w:p>
    <w:tbl>
      <w:tblPr>
        <w:tblStyle w:val="2"/>
        <w:tblW w:w="0" w:type="auto"/>
        <w:tblInd w:w="0" w:type="dxa"/>
        <w:tblBorders>
          <w:top w:val="single" w:color="auto" w:sz="0" w:space="0"/>
          <w:left w:val="single" w:color="auto" w:sz="0" w:space="0"/>
          <w:bottom w:val="single" w:color="auto" w:sz="0" w:space="0"/>
          <w:right w:val="single" w:color="auto" w:sz="0" w:space="0"/>
          <w:insideH w:val="single" w:color="auto" w:sz="0" w:space="0"/>
          <w:insideV w:val="single" w:color="auto" w:sz="0" w:space="0"/>
        </w:tblBorders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353"/>
        <w:gridCol w:w="353"/>
        <w:gridCol w:w="7816"/>
      </w:tblGrid>
      <w:tr w14:paraId="6D1D157D">
        <w:tblPrEx>
          <w:tblBorders>
            <w:top w:val="single" w:color="auto" w:sz="0" w:space="0"/>
            <w:left w:val="single" w:color="auto" w:sz="0" w:space="0"/>
            <w:bottom w:val="single" w:color="auto" w:sz="0" w:space="0"/>
            <w:right w:val="single" w:color="auto" w:sz="0" w:space="0"/>
            <w:insideH w:val="single" w:color="auto" w:sz="0" w:space="0"/>
            <w:insideV w:val="singl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244" w:type="dxa"/>
          </w:tcPr>
          <w:p w14:paraId="620315B4">
            <w:pPr>
              <w:pStyle w:val="4"/>
              <w:rPr>
                <w:highlight w:val="none"/>
              </w:rPr>
            </w:pPr>
            <w:r>
              <w:rPr>
                <w:highlight w:val="none"/>
              </w:rPr>
              <w:t xml:space="preserve"> 参数性质</w:t>
            </w:r>
          </w:p>
        </w:tc>
        <w:tc>
          <w:tcPr>
            <w:tcW w:w="800" w:type="dxa"/>
          </w:tcPr>
          <w:p w14:paraId="03ADCD8F">
            <w:pPr>
              <w:pStyle w:val="4"/>
              <w:rPr>
                <w:highlight w:val="none"/>
              </w:rPr>
            </w:pPr>
            <w:r>
              <w:rPr>
                <w:highlight w:val="none"/>
              </w:rPr>
              <w:t xml:space="preserve"> 序号</w:t>
            </w:r>
          </w:p>
        </w:tc>
        <w:tc>
          <w:tcPr>
            <w:tcW w:w="6478" w:type="dxa"/>
          </w:tcPr>
          <w:p w14:paraId="05EC0375">
            <w:pPr>
              <w:pStyle w:val="4"/>
              <w:rPr>
                <w:highlight w:val="none"/>
              </w:rPr>
            </w:pPr>
            <w:r>
              <w:rPr>
                <w:highlight w:val="none"/>
              </w:rPr>
              <w:t xml:space="preserve"> 技术参数与性能指标</w:t>
            </w:r>
          </w:p>
        </w:tc>
      </w:tr>
      <w:tr w14:paraId="5C1C3D2B">
        <w:tblPrEx>
          <w:tblBorders>
            <w:top w:val="single" w:color="auto" w:sz="0" w:space="0"/>
            <w:left w:val="single" w:color="auto" w:sz="0" w:space="0"/>
            <w:bottom w:val="single" w:color="auto" w:sz="0" w:space="0"/>
            <w:right w:val="single" w:color="auto" w:sz="0" w:space="0"/>
            <w:insideH w:val="single" w:color="auto" w:sz="0" w:space="0"/>
            <w:insideV w:val="singl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244" w:type="dxa"/>
          </w:tcPr>
          <w:p w14:paraId="58AE5319">
            <w:pPr>
              <w:rPr>
                <w:highlight w:val="none"/>
              </w:rPr>
            </w:pPr>
          </w:p>
        </w:tc>
        <w:tc>
          <w:tcPr>
            <w:tcW w:w="800" w:type="dxa"/>
          </w:tcPr>
          <w:p w14:paraId="28DE12B8">
            <w:pPr>
              <w:pStyle w:val="4"/>
              <w:rPr>
                <w:highlight w:val="none"/>
              </w:rPr>
            </w:pPr>
            <w:r>
              <w:rPr>
                <w:highlight w:val="none"/>
              </w:rPr>
              <w:t>1</w:t>
            </w:r>
          </w:p>
        </w:tc>
        <w:tc>
          <w:tcPr>
            <w:tcW w:w="6478" w:type="dxa"/>
          </w:tcPr>
          <w:p w14:paraId="15AB347C">
            <w:pPr>
              <w:rPr>
                <w:rFonts w:hint="eastAsia"/>
                <w:highlight w:val="none"/>
              </w:rPr>
            </w:pPr>
            <w:r>
              <w:rPr>
                <w:rFonts w:hint="eastAsia"/>
                <w:highlight w:val="none"/>
              </w:rPr>
              <w:t>（一）总体检测要求</w:t>
            </w:r>
          </w:p>
          <w:p w14:paraId="23322751">
            <w:pPr>
              <w:rPr>
                <w:rFonts w:hint="eastAsia"/>
                <w:highlight w:val="none"/>
              </w:rPr>
            </w:pPr>
            <w:r>
              <w:rPr>
                <w:rFonts w:hint="eastAsia"/>
                <w:highlight w:val="none"/>
              </w:rPr>
              <w:t>1. 本次桥梁定期检测严格按照《城市桥梁养护技术标准》（CJJ99-2017）要求执行，规范中未明确规定且本文件未提及的项目或要求，须征询采购人意见并协商确定。</w:t>
            </w:r>
          </w:p>
          <w:p w14:paraId="516CD6A9">
            <w:pPr>
              <w:rPr>
                <w:rFonts w:hint="eastAsia"/>
                <w:highlight w:val="none"/>
              </w:rPr>
            </w:pPr>
            <w:r>
              <w:rPr>
                <w:rFonts w:hint="eastAsia"/>
                <w:highlight w:val="none"/>
              </w:rPr>
              <w:t>2. 检测桥梁评定标准：</w:t>
            </w:r>
          </w:p>
          <w:p w14:paraId="25A39360">
            <w:pPr>
              <w:rPr>
                <w:rFonts w:hint="eastAsia"/>
                <w:highlight w:val="none"/>
              </w:rPr>
            </w:pPr>
            <w:r>
              <w:rPr>
                <w:rFonts w:hint="eastAsia"/>
                <w:highlight w:val="none"/>
              </w:rPr>
              <w:t>（1）对I类非特殊结构且不含匝道的桥梁，直接进行评价（BCI评分）；桥梁特殊结构段进行总体评价（合格或不合格），不进行打分。</w:t>
            </w:r>
          </w:p>
          <w:p w14:paraId="248EB90A">
            <w:pPr>
              <w:rPr>
                <w:rFonts w:hint="eastAsia"/>
                <w:highlight w:val="none"/>
              </w:rPr>
            </w:pPr>
            <w:r>
              <w:rPr>
                <w:rFonts w:hint="eastAsia"/>
                <w:highlight w:val="none"/>
              </w:rPr>
              <w:t>（2）对含匝道的立交（一般为II、III类）或高架，划分成多个单元（按匝道、主线方向划分）分别进行评分，根据每个单元面积（悬空部分投影面积）计算权重，加权进行总评，同时得出构件最低评分（BSI）。</w:t>
            </w:r>
          </w:p>
          <w:p w14:paraId="032B93E6">
            <w:pPr>
              <w:rPr>
                <w:rFonts w:hint="eastAsia"/>
                <w:highlight w:val="none"/>
              </w:rPr>
            </w:pPr>
            <w:r>
              <w:rPr>
                <w:rFonts w:hint="eastAsia"/>
                <w:highlight w:val="none"/>
              </w:rPr>
              <w:t>3. 检测需包含桥梁抗震设施规范性及完好程度的检查内容，并在检测报告中以独立章节形式说明。</w:t>
            </w:r>
          </w:p>
          <w:p w14:paraId="451C9DC7">
            <w:pPr>
              <w:rPr>
                <w:rFonts w:hint="eastAsia"/>
                <w:highlight w:val="none"/>
              </w:rPr>
            </w:pPr>
            <w:r>
              <w:rPr>
                <w:rFonts w:hint="eastAsia"/>
                <w:highlight w:val="none"/>
              </w:rPr>
              <w:t>4. 检测成果提交要求：检测工作全部完成后，须同时提交书面文本（4套）及电子文本（2套，U盘拷贝），具体包括：</w:t>
            </w:r>
          </w:p>
          <w:p w14:paraId="58BE133E">
            <w:pPr>
              <w:rPr>
                <w:rFonts w:hint="eastAsia"/>
                <w:highlight w:val="none"/>
              </w:rPr>
            </w:pPr>
            <w:r>
              <w:rPr>
                <w:rFonts w:hint="eastAsia"/>
                <w:highlight w:val="none"/>
              </w:rPr>
              <w:t>（1）《桥梁结构常规定期检测评定报告》《结构检算报告》；</w:t>
            </w:r>
          </w:p>
          <w:p w14:paraId="0A174F18">
            <w:pPr>
              <w:rPr>
                <w:rFonts w:hint="eastAsia"/>
                <w:highlight w:val="none"/>
              </w:rPr>
            </w:pPr>
            <w:r>
              <w:rPr>
                <w:rFonts w:hint="eastAsia"/>
                <w:highlight w:val="none"/>
              </w:rPr>
              <w:t>（2）《桥梁病害对比报告》（对比上年度桥梁检测报告，详细比对原有病害及新发病害，分析病害成因、发展变化趋势，提出意见建议）；</w:t>
            </w:r>
          </w:p>
          <w:p w14:paraId="0D1B2E21">
            <w:pPr>
              <w:rPr>
                <w:rFonts w:hint="eastAsia"/>
                <w:highlight w:val="none"/>
              </w:rPr>
            </w:pPr>
            <w:r>
              <w:rPr>
                <w:rFonts w:hint="eastAsia"/>
                <w:highlight w:val="none"/>
              </w:rPr>
              <w:t>（3）《桥梁维修方案设计及投资估算》（根据前两项报告及采购人具体要求编制）；</w:t>
            </w:r>
          </w:p>
          <w:p w14:paraId="01AD7B56">
            <w:pPr>
              <w:rPr>
                <w:rFonts w:hint="eastAsia"/>
                <w:highlight w:val="none"/>
              </w:rPr>
            </w:pPr>
            <w:r>
              <w:rPr>
                <w:rFonts w:hint="eastAsia"/>
                <w:highlight w:val="none"/>
              </w:rPr>
              <w:t>（4）检测全部原始影像资料（U盘拷贝）；</w:t>
            </w:r>
          </w:p>
          <w:p w14:paraId="26F9AE6F">
            <w:pPr>
              <w:rPr>
                <w:rFonts w:hint="eastAsia"/>
                <w:highlight w:val="none"/>
              </w:rPr>
            </w:pPr>
            <w:r>
              <w:rPr>
                <w:rFonts w:hint="eastAsia"/>
                <w:highlight w:val="none"/>
              </w:rPr>
              <w:t>（5）按照《城市桥梁养护技术标准》完成的附录B城市桥梁资料卡。</w:t>
            </w:r>
          </w:p>
          <w:p w14:paraId="4F1FCC58">
            <w:pPr>
              <w:rPr>
                <w:rFonts w:hint="eastAsia"/>
                <w:highlight w:val="none"/>
              </w:rPr>
            </w:pPr>
            <w:r>
              <w:rPr>
                <w:rFonts w:hint="eastAsia"/>
                <w:highlight w:val="none"/>
              </w:rPr>
              <w:t>5. 方案要求：针对每座桥所处环境，在检测工作开展前，须制定合理的检测方案、检测全过程安全生产专项方案及交通组织疏导方案（或修改已有组织方案），报采购人批准后实施；提前联系交管等相关部门办理道路交通相关手续，确保施工安全和进度。</w:t>
            </w:r>
          </w:p>
          <w:p w14:paraId="305A6091">
            <w:pPr>
              <w:rPr>
                <w:rFonts w:hint="eastAsia"/>
                <w:highlight w:val="none"/>
              </w:rPr>
            </w:pPr>
            <w:r>
              <w:rPr>
                <w:rFonts w:hint="eastAsia"/>
                <w:highlight w:val="none"/>
              </w:rPr>
              <w:t>6. 服务周期要求：</w:t>
            </w:r>
          </w:p>
          <w:p w14:paraId="1043D0E2">
            <w:pPr>
              <w:rPr>
                <w:rFonts w:hint="eastAsia"/>
                <w:highlight w:val="none"/>
              </w:rPr>
            </w:pPr>
            <w:r>
              <w:rPr>
                <w:rFonts w:hint="eastAsia"/>
                <w:highlight w:val="none"/>
              </w:rPr>
              <w:t>（1）外业检测、数据分析等工作须在30日内完成；</w:t>
            </w:r>
          </w:p>
          <w:p w14:paraId="34F501B2">
            <w:pPr>
              <w:rPr>
                <w:rFonts w:hint="eastAsia"/>
                <w:highlight w:val="none"/>
              </w:rPr>
            </w:pPr>
            <w:r>
              <w:rPr>
                <w:rFonts w:hint="eastAsia"/>
                <w:highlight w:val="none"/>
              </w:rPr>
              <w:t>（2）检测完成后，7日内提交全部需提交的文本内容；</w:t>
            </w:r>
          </w:p>
          <w:p w14:paraId="0AA2BA64">
            <w:pPr>
              <w:rPr>
                <w:rFonts w:hint="eastAsia"/>
                <w:highlight w:val="none"/>
              </w:rPr>
            </w:pPr>
            <w:r>
              <w:rPr>
                <w:rFonts w:hint="eastAsia"/>
                <w:highlight w:val="none"/>
              </w:rPr>
              <w:t>（3）自合同签订起1年内，须无条件及时提供相应技术支持和技术服务，包括但不限于桥梁重点定期观察复测、突发桥梁事件应急检测评估、方案编制、技术汇报等。</w:t>
            </w:r>
          </w:p>
          <w:p w14:paraId="5EBA652B">
            <w:pPr>
              <w:rPr>
                <w:rFonts w:hint="eastAsia"/>
                <w:highlight w:val="none"/>
              </w:rPr>
            </w:pPr>
            <w:r>
              <w:rPr>
                <w:rFonts w:hint="eastAsia"/>
                <w:highlight w:val="none"/>
              </w:rPr>
              <w:t>7. 检测成果要求：依据《城市桥梁养护技术标准》（CJJ99-2017）要求，进行全面实地检查、数据采集、整理分析、技术评定，提出针对性维护意见，出具具有法律效力的检测报告文件。</w:t>
            </w:r>
          </w:p>
          <w:p w14:paraId="368558EE">
            <w:pPr>
              <w:rPr>
                <w:rFonts w:hint="eastAsia"/>
                <w:highlight w:val="none"/>
              </w:rPr>
            </w:pPr>
            <w:r>
              <w:rPr>
                <w:rFonts w:hint="eastAsia"/>
                <w:highlight w:val="none"/>
              </w:rPr>
              <w:t>（二）具体检测内容要求</w:t>
            </w:r>
          </w:p>
          <w:p w14:paraId="5D5B601D">
            <w:pPr>
              <w:rPr>
                <w:rFonts w:hint="eastAsia"/>
                <w:highlight w:val="none"/>
              </w:rPr>
            </w:pPr>
            <w:r>
              <w:rPr>
                <w:rFonts w:hint="eastAsia"/>
                <w:highlight w:val="none"/>
              </w:rPr>
              <w:t>1. 结构检测要求</w:t>
            </w:r>
          </w:p>
          <w:p w14:paraId="6D7D203B">
            <w:pPr>
              <w:rPr>
                <w:rFonts w:hint="eastAsia"/>
                <w:highlight w:val="none"/>
              </w:rPr>
            </w:pPr>
            <w:r>
              <w:rPr>
                <w:rFonts w:hint="eastAsia"/>
                <w:highlight w:val="none"/>
              </w:rPr>
              <w:t>1.1 查阅历次检测报告和常规定期检测中提出的建议。</w:t>
            </w:r>
          </w:p>
          <w:p w14:paraId="0E65D928">
            <w:pPr>
              <w:rPr>
                <w:rFonts w:hint="eastAsia"/>
                <w:highlight w:val="none"/>
              </w:rPr>
            </w:pPr>
            <w:r>
              <w:rPr>
                <w:rFonts w:hint="eastAsia"/>
                <w:highlight w:val="none"/>
              </w:rPr>
              <w:t>1.2 根据常规定期检测中桥梁状况评定结果，开展梁体线型、墩柱沉降及结构构件检测，具体包括：</w:t>
            </w:r>
          </w:p>
          <w:p w14:paraId="18BC983F">
            <w:pPr>
              <w:rPr>
                <w:rFonts w:hint="eastAsia"/>
                <w:highlight w:val="none"/>
              </w:rPr>
            </w:pPr>
            <w:r>
              <w:rPr>
                <w:rFonts w:hint="eastAsia"/>
                <w:highlight w:val="none"/>
              </w:rPr>
              <w:t>（1）桥面系：桥面铺装、伸缩装置、排水装置、护栏、防抛网、防眩板和隔音屏等；</w:t>
            </w:r>
          </w:p>
          <w:p w14:paraId="4E6F0E2F">
            <w:pPr>
              <w:rPr>
                <w:rFonts w:hint="eastAsia"/>
                <w:highlight w:val="none"/>
              </w:rPr>
            </w:pPr>
            <w:r>
              <w:rPr>
                <w:rFonts w:hint="eastAsia"/>
                <w:highlight w:val="none"/>
              </w:rPr>
              <w:t>（2）桥梁上部结构：主梁、主桁架、主拱圈、横梁、连接件、上部结构大修加固构件等；</w:t>
            </w:r>
          </w:p>
          <w:p w14:paraId="03678FB0">
            <w:pPr>
              <w:rPr>
                <w:rFonts w:hint="eastAsia"/>
                <w:highlight w:val="none"/>
              </w:rPr>
            </w:pPr>
            <w:r>
              <w:rPr>
                <w:rFonts w:hint="eastAsia"/>
                <w:highlight w:val="none"/>
              </w:rPr>
              <w:t>（3）桥梁下部结构：支座、墩身、台帽、台身、基础、下部结构大修加固构件、挡土墙等；</w:t>
            </w:r>
          </w:p>
          <w:p w14:paraId="06F72C94">
            <w:pPr>
              <w:rPr>
                <w:rFonts w:hint="eastAsia"/>
                <w:highlight w:val="none"/>
              </w:rPr>
            </w:pPr>
            <w:r>
              <w:rPr>
                <w:rFonts w:hint="eastAsia"/>
                <w:highlight w:val="none"/>
              </w:rPr>
              <w:t>（4）其他附属构造设施：限高门架、各类标志牌，以及桥下空间使用和安全评估、桥梁抗震设施等；</w:t>
            </w:r>
          </w:p>
          <w:p w14:paraId="5C817E33">
            <w:pPr>
              <w:rPr>
                <w:rFonts w:hint="eastAsia"/>
                <w:highlight w:val="none"/>
              </w:rPr>
            </w:pPr>
            <w:r>
              <w:rPr>
                <w:rFonts w:hint="eastAsia"/>
                <w:highlight w:val="none"/>
              </w:rPr>
              <w:t>（5）梁体线形、墩柱沉降、结构构件检测；</w:t>
            </w:r>
          </w:p>
          <w:p w14:paraId="4AC4EC36">
            <w:pPr>
              <w:rPr>
                <w:rFonts w:hint="eastAsia"/>
                <w:highlight w:val="none"/>
              </w:rPr>
            </w:pPr>
            <w:r>
              <w:rPr>
                <w:rFonts w:hint="eastAsia"/>
                <w:highlight w:val="none"/>
              </w:rPr>
              <w:t>（6）其他影响桥梁安全的检测及分析；</w:t>
            </w:r>
          </w:p>
          <w:p w14:paraId="47D2F755">
            <w:pPr>
              <w:rPr>
                <w:rFonts w:hint="eastAsia"/>
                <w:highlight w:val="none"/>
              </w:rPr>
            </w:pPr>
            <w:r>
              <w:rPr>
                <w:rFonts w:hint="eastAsia"/>
                <w:highlight w:val="none"/>
              </w:rPr>
              <w:t>（7）桥梁技术状态评估分级，并提出对应的结论及养护措施。</w:t>
            </w:r>
          </w:p>
          <w:p w14:paraId="750B4A20">
            <w:pPr>
              <w:rPr>
                <w:rFonts w:hint="eastAsia"/>
                <w:highlight w:val="none"/>
              </w:rPr>
            </w:pPr>
            <w:r>
              <w:rPr>
                <w:rFonts w:hint="eastAsia"/>
                <w:highlight w:val="none"/>
              </w:rPr>
              <w:t>1.3 通过材料取样试验，确认材料特性、退化程度和退化性质。</w:t>
            </w:r>
          </w:p>
          <w:p w14:paraId="2C42C43D">
            <w:pPr>
              <w:rPr>
                <w:rFonts w:hint="eastAsia"/>
                <w:highlight w:val="none"/>
              </w:rPr>
            </w:pPr>
            <w:r>
              <w:rPr>
                <w:rFonts w:hint="eastAsia"/>
                <w:highlight w:val="none"/>
              </w:rPr>
              <w:t>1.4 对桥梁进行结构检算，包括承载力检算、稳定性检算和刚度验算。</w:t>
            </w:r>
          </w:p>
          <w:p w14:paraId="7556C11F">
            <w:pPr>
              <w:rPr>
                <w:rFonts w:hint="eastAsia"/>
                <w:highlight w:val="none"/>
              </w:rPr>
            </w:pPr>
            <w:r>
              <w:rPr>
                <w:rFonts w:hint="eastAsia"/>
                <w:highlight w:val="none"/>
              </w:rPr>
              <w:t>1.5 分析确定退化原因，以及对结构性能和耐久性的影响。</w:t>
            </w:r>
          </w:p>
          <w:p w14:paraId="3F3CC75E">
            <w:pPr>
              <w:rPr>
                <w:rFonts w:hint="eastAsia"/>
                <w:highlight w:val="none"/>
              </w:rPr>
            </w:pPr>
            <w:r>
              <w:rPr>
                <w:rFonts w:hint="eastAsia"/>
                <w:highlight w:val="none"/>
              </w:rPr>
              <w:t>1.6 对可能影响结构正常工作的构件，评价其在下一次检测前的可能退化情况；若构件在下一次检测前可能失效，须立即报告桥梁养护管理部门。</w:t>
            </w:r>
          </w:p>
          <w:p w14:paraId="5F380FC3">
            <w:pPr>
              <w:rPr>
                <w:rFonts w:hint="eastAsia"/>
                <w:highlight w:val="none"/>
              </w:rPr>
            </w:pPr>
            <w:r>
              <w:rPr>
                <w:rFonts w:hint="eastAsia"/>
                <w:highlight w:val="none"/>
              </w:rPr>
              <w:t>1.7 检测桥梁的淤积、冲刷等现象，记录水位。</w:t>
            </w:r>
          </w:p>
          <w:p w14:paraId="67A6C4CC">
            <w:pPr>
              <w:rPr>
                <w:rFonts w:hint="eastAsia"/>
                <w:highlight w:val="none"/>
              </w:rPr>
            </w:pPr>
            <w:r>
              <w:rPr>
                <w:rFonts w:hint="eastAsia"/>
                <w:highlight w:val="none"/>
              </w:rPr>
              <w:t>1.8 通过综合检测评定，确定具有潜在退化可能或已处于退化状况的桥梁构件，提出相应养护措施。</w:t>
            </w:r>
          </w:p>
          <w:p w14:paraId="1BB2B4BC">
            <w:pPr>
              <w:rPr>
                <w:rFonts w:hint="eastAsia"/>
                <w:highlight w:val="none"/>
              </w:rPr>
            </w:pPr>
            <w:r>
              <w:rPr>
                <w:rFonts w:hint="eastAsia"/>
                <w:highlight w:val="none"/>
              </w:rPr>
              <w:t>1.9 结构状态评定补充要求：</w:t>
            </w:r>
          </w:p>
          <w:p w14:paraId="178262A2">
            <w:pPr>
              <w:rPr>
                <w:rFonts w:hint="eastAsia"/>
                <w:highlight w:val="none"/>
              </w:rPr>
            </w:pPr>
            <w:r>
              <w:rPr>
                <w:rFonts w:hint="eastAsia"/>
                <w:highlight w:val="none"/>
              </w:rPr>
              <w:t>（1）I类养护的城市桥梁结构状态评估，按《城市桥梁养护技术标准》附录表中的缺陷进行；Ⅱ～Ⅴ类养护的城市桥梁，按该规范附录中的扣分值表进行评估，并符合规范第4.5节有关规定；同时需列出所有桥梁构件的腐蚀环境情况、构件的实测缺陷类型和程度。</w:t>
            </w:r>
          </w:p>
          <w:p w14:paraId="12933E71">
            <w:pPr>
              <w:rPr>
                <w:rFonts w:hint="eastAsia"/>
                <w:highlight w:val="none"/>
              </w:rPr>
            </w:pPr>
            <w:r>
              <w:rPr>
                <w:rFonts w:hint="eastAsia"/>
                <w:highlight w:val="none"/>
              </w:rPr>
              <w:t>（2）对I类养护评为不合格级的城市桥梁、退化速度过快的构件，以及Ⅱ～Ⅴ类养护结构状况评定为Ｄ级、Ｅ级的城市桥梁，须在结构检测记录表中记录构件编号、构件描述、构件位置、缺陷描述（含位置、程度、成因、可能退化、照片编号、材料试验细节及材料部位）。</w:t>
            </w:r>
          </w:p>
          <w:p w14:paraId="2E8E5570">
            <w:pPr>
              <w:rPr>
                <w:rFonts w:hint="eastAsia"/>
                <w:highlight w:val="none"/>
              </w:rPr>
            </w:pPr>
            <w:r>
              <w:rPr>
                <w:rFonts w:hint="eastAsia"/>
                <w:highlight w:val="none"/>
              </w:rPr>
              <w:t>（3）特殊构件信息表需记录未在评分标准中定义的构件、无法检测的构件（说明原因）、河道淤积/冲刷/水位记录、材料测试和取样位置及编号（便于试验结果交叉参考）；照片记录表中的照片须针对构件缺陷拍摄，并按顺序编号。</w:t>
            </w:r>
          </w:p>
          <w:p w14:paraId="210359BA">
            <w:pPr>
              <w:rPr>
                <w:rFonts w:hint="eastAsia"/>
                <w:highlight w:val="none"/>
              </w:rPr>
            </w:pPr>
            <w:r>
              <w:rPr>
                <w:rFonts w:hint="eastAsia"/>
                <w:highlight w:val="none"/>
              </w:rPr>
              <w:t>1.10 结构检测除符合《城市桥梁养护技术标准》（CJJ99-2017）相关规定外，还需包含桥梁抗震设施（抗震构件和支座）的工作性能和完好程度检查、评价，相关内容在检测报告中以独立章节说明；桥梁承载力评定须进行结构检算。</w:t>
            </w:r>
          </w:p>
          <w:p w14:paraId="546A3087">
            <w:pPr>
              <w:rPr>
                <w:rFonts w:hint="eastAsia"/>
                <w:highlight w:val="none"/>
              </w:rPr>
            </w:pPr>
            <w:r>
              <w:rPr>
                <w:rFonts w:hint="eastAsia"/>
                <w:highlight w:val="none"/>
              </w:rPr>
              <w:t>2. 结构检算要求（含独柱墩桥梁横向抗倾覆安全性评估验算）</w:t>
            </w:r>
          </w:p>
          <w:p w14:paraId="47DA12E3">
            <w:pPr>
              <w:rPr>
                <w:rFonts w:hint="eastAsia"/>
                <w:highlight w:val="none"/>
              </w:rPr>
            </w:pPr>
            <w:r>
              <w:rPr>
                <w:rFonts w:hint="eastAsia"/>
                <w:highlight w:val="none"/>
              </w:rPr>
              <w:t>2.1 独柱墩桥梁横向抗倾覆安全性评估验算内容包括：计划验算桥梁中独柱墩桥梁的特殊检查、独柱墩桥梁的横向抗倾覆安全性验算。</w:t>
            </w:r>
          </w:p>
          <w:p w14:paraId="0B1E656C">
            <w:pPr>
              <w:rPr>
                <w:rFonts w:hint="eastAsia"/>
                <w:highlight w:val="none"/>
              </w:rPr>
            </w:pPr>
            <w:r>
              <w:rPr>
                <w:rFonts w:hint="eastAsia"/>
                <w:highlight w:val="none"/>
              </w:rPr>
              <w:t>2.2 独柱墩桥梁特殊检查要求：</w:t>
            </w:r>
          </w:p>
          <w:p w14:paraId="685A6052">
            <w:pPr>
              <w:rPr>
                <w:rFonts w:hint="eastAsia"/>
                <w:highlight w:val="none"/>
              </w:rPr>
            </w:pPr>
            <w:r>
              <w:rPr>
                <w:rFonts w:hint="eastAsia"/>
                <w:highlight w:val="none"/>
              </w:rPr>
              <w:t>（1）支座调查：支座布置间距、支座与盖梁的位置关系、支座是否脱空等；</w:t>
            </w:r>
          </w:p>
          <w:p w14:paraId="1A667748">
            <w:pPr>
              <w:rPr>
                <w:rFonts w:hint="eastAsia"/>
                <w:highlight w:val="none"/>
              </w:rPr>
            </w:pPr>
            <w:r>
              <w:rPr>
                <w:rFonts w:hint="eastAsia"/>
                <w:highlight w:val="none"/>
              </w:rPr>
              <w:t>（2）墩柱检查：墩柱垂直度、墩身裂缝等；</w:t>
            </w:r>
          </w:p>
          <w:p w14:paraId="42F9F011">
            <w:pPr>
              <w:rPr>
                <w:rFonts w:hint="eastAsia"/>
                <w:highlight w:val="none"/>
              </w:rPr>
            </w:pPr>
            <w:r>
              <w:rPr>
                <w:rFonts w:hint="eastAsia"/>
                <w:highlight w:val="none"/>
              </w:rPr>
              <w:t>（3）主梁检查：主梁形态、偏位等；</w:t>
            </w:r>
          </w:p>
          <w:p w14:paraId="2A7E801A">
            <w:pPr>
              <w:rPr>
                <w:rFonts w:hint="eastAsia"/>
                <w:highlight w:val="none"/>
              </w:rPr>
            </w:pPr>
            <w:r>
              <w:rPr>
                <w:rFonts w:hint="eastAsia"/>
                <w:highlight w:val="none"/>
              </w:rPr>
              <w:t>（4）交通量调查：超载车辆通行情况；</w:t>
            </w:r>
          </w:p>
          <w:p w14:paraId="1FC6F37E">
            <w:pPr>
              <w:rPr>
                <w:rFonts w:hint="eastAsia"/>
                <w:highlight w:val="none"/>
              </w:rPr>
            </w:pPr>
            <w:r>
              <w:rPr>
                <w:rFonts w:hint="eastAsia"/>
                <w:highlight w:val="none"/>
              </w:rPr>
              <w:t>（5）通过上述检查，选取偏不利的孔跨作为验算孔跨。</w:t>
            </w:r>
          </w:p>
          <w:p w14:paraId="2D24A7DD">
            <w:pPr>
              <w:rPr>
                <w:rFonts w:hint="eastAsia"/>
                <w:highlight w:val="none"/>
              </w:rPr>
            </w:pPr>
            <w:r>
              <w:rPr>
                <w:rFonts w:hint="eastAsia"/>
                <w:highlight w:val="none"/>
              </w:rPr>
              <w:t>2.3 独柱墩桥梁技术状况验算评估要求：</w:t>
            </w:r>
          </w:p>
          <w:p w14:paraId="5B76A50D">
            <w:pPr>
              <w:rPr>
                <w:rFonts w:hint="eastAsia"/>
                <w:highlight w:val="none"/>
              </w:rPr>
            </w:pPr>
            <w:r>
              <w:rPr>
                <w:rFonts w:hint="eastAsia"/>
                <w:highlight w:val="none"/>
              </w:rPr>
              <w:t>（1）采用空间分析模型进行计算，墩梁连接和桥墩约束等边界条件符合结构受力特性；</w:t>
            </w:r>
          </w:p>
          <w:p w14:paraId="099D7ACB">
            <w:pPr>
              <w:rPr>
                <w:rFonts w:hint="eastAsia"/>
                <w:highlight w:val="none"/>
              </w:rPr>
            </w:pPr>
            <w:r>
              <w:rPr>
                <w:rFonts w:hint="eastAsia"/>
                <w:highlight w:val="none"/>
              </w:rPr>
              <w:t>（2）按照结构原设计依据的标准规范，进行主梁、盖梁、桥墩、基础和支座的承载能力极限状态和正常使用极限状态验算；若桥梁加固改变了结构受力状态，按加固后的结构状态进行复核计算，桥梁极限承载能力需满足或采取加固措施满足现行标准要求，正常使用极限状态需满足原设计标准要求；</w:t>
            </w:r>
          </w:p>
          <w:p w14:paraId="5F3040D7">
            <w:pPr>
              <w:rPr>
                <w:rFonts w:hint="eastAsia"/>
                <w:highlight w:val="none"/>
              </w:rPr>
            </w:pPr>
            <w:r>
              <w:rPr>
                <w:rFonts w:hint="eastAsia"/>
                <w:highlight w:val="none"/>
              </w:rPr>
              <w:t>（3）持久状况下，桥梁结构体系不发生改变，且在作用基本组合下，支座始终保持受压状态；在作用标准值组合下，连续梁桥中箱梁的作用效应符合相关规范要求。</w:t>
            </w:r>
          </w:p>
          <w:p w14:paraId="09F2FE80">
            <w:pPr>
              <w:rPr>
                <w:rFonts w:hint="eastAsia"/>
                <w:highlight w:val="none"/>
              </w:rPr>
            </w:pPr>
            <w:r>
              <w:rPr>
                <w:rFonts w:hint="eastAsia"/>
                <w:highlight w:val="none"/>
              </w:rPr>
              <w:t>2.4 依据标准及规范：《公路桥涵设计通用规范》（JTG D60-2015）、《城市桥梁设计规范》（CJJ11-2011）、《城市桥梁养护技术标准》（CJJ99-2017）及其他相关技术规范。</w:t>
            </w:r>
          </w:p>
          <w:p w14:paraId="4ADAC0C1">
            <w:pPr>
              <w:rPr>
                <w:rFonts w:hint="eastAsia"/>
                <w:highlight w:val="none"/>
              </w:rPr>
            </w:pPr>
            <w:r>
              <w:rPr>
                <w:rFonts w:hint="eastAsia"/>
                <w:highlight w:val="none"/>
              </w:rPr>
              <w:t>3. 特殊检测要求</w:t>
            </w:r>
          </w:p>
          <w:p w14:paraId="170BB23F">
            <w:pPr>
              <w:rPr>
                <w:rFonts w:hint="eastAsia"/>
                <w:highlight w:val="none"/>
              </w:rPr>
            </w:pPr>
            <w:r>
              <w:rPr>
                <w:rFonts w:hint="eastAsia"/>
                <w:highlight w:val="none"/>
              </w:rPr>
              <w:t>3.1 资质及人员要求：特殊检测由具备相应资质的专业单位承担，主要检测人员需为从事桥梁专业工作5年以上经验的工程师。</w:t>
            </w:r>
          </w:p>
          <w:p w14:paraId="5EA728D4">
            <w:pPr>
              <w:rPr>
                <w:rFonts w:hint="eastAsia"/>
                <w:highlight w:val="none"/>
              </w:rPr>
            </w:pPr>
            <w:r>
              <w:rPr>
                <w:rFonts w:hint="eastAsia"/>
                <w:highlight w:val="none"/>
              </w:rPr>
              <w:t>3.2 检测方法：由专业人员采用专门技术手段，辅以现场和试验室测试等特殊手段，进行详细检测和综合分析，提交书面检测报告。</w:t>
            </w:r>
          </w:p>
          <w:p w14:paraId="4B509F9A">
            <w:pPr>
              <w:rPr>
                <w:rFonts w:hint="eastAsia"/>
                <w:highlight w:val="none"/>
              </w:rPr>
            </w:pPr>
            <w:r>
              <w:rPr>
                <w:rFonts w:hint="eastAsia"/>
                <w:highlight w:val="none"/>
              </w:rPr>
              <w:t>3.3 前期资料搜集：实施特殊检测前，需搜集竣工资料、桥梁结构主要材料及强度信息、特殊检测原因及影响桥梁承载能力的因素、历次检测及维修报告、交通量统计资料等。</w:t>
            </w:r>
          </w:p>
          <w:p w14:paraId="1A3451B3">
            <w:pPr>
              <w:rPr>
                <w:rFonts w:hint="eastAsia"/>
                <w:highlight w:val="none"/>
              </w:rPr>
            </w:pPr>
            <w:r>
              <w:rPr>
                <w:rFonts w:hint="eastAsia"/>
                <w:highlight w:val="none"/>
              </w:rPr>
              <w:t>3.4 检测内容：</w:t>
            </w:r>
          </w:p>
          <w:p w14:paraId="0A3461C7">
            <w:pPr>
              <w:rPr>
                <w:rFonts w:hint="eastAsia"/>
                <w:highlight w:val="none"/>
              </w:rPr>
            </w:pPr>
            <w:r>
              <w:rPr>
                <w:rFonts w:hint="eastAsia"/>
                <w:highlight w:val="none"/>
              </w:rPr>
              <w:t>（1）结构材料缺损状况诊断：根据缺损类型、位置和检测要求，选择表面测量、无损检测技术和局部取试样等方法（试样取自有代表性构件的次要部位），检测与评估依照相应试验标准进行；</w:t>
            </w:r>
          </w:p>
          <w:p w14:paraId="49E2AC96">
            <w:pPr>
              <w:rPr>
                <w:rFonts w:hint="eastAsia"/>
                <w:highlight w:val="none"/>
              </w:rPr>
            </w:pPr>
            <w:r>
              <w:rPr>
                <w:rFonts w:hint="eastAsia"/>
                <w:highlight w:val="none"/>
              </w:rPr>
              <w:t>（2）结构整体性能、功能状况评估：根据构件材料质量状况及实际功能，通过计算分析评估结构承载能力；计算分析评估不满足或难以确定时，采用静力荷载方法鉴定结构承载能力，采用动力荷载方法测定结构力学性能参数和振动参数，相关工作符合国家现行有关标准规定。</w:t>
            </w:r>
          </w:p>
          <w:p w14:paraId="2D94B985">
            <w:pPr>
              <w:rPr>
                <w:rFonts w:hint="eastAsia"/>
                <w:highlight w:val="none"/>
              </w:rPr>
            </w:pPr>
            <w:r>
              <w:rPr>
                <w:rFonts w:hint="eastAsia"/>
                <w:highlight w:val="none"/>
              </w:rPr>
              <w:t>3.5 特殊检测报告要求：包含概述（桥梁基本情况、检测组织、时间背景、工作过程）、桥梁技术状况描述、试验与检测项目及方法、检测数据与分析结果、桥梁技术状况评价、损坏原因及程度阐述、安全性评定、维修加固或改造建议方案及维护管理措施；对检测结果不满足要求的桥梁，在维修加固前提出详细防护应对措施（含限载、限速、封闭交通及结构变化监测等）。</w:t>
            </w:r>
          </w:p>
          <w:p w14:paraId="0228CC6F">
            <w:pPr>
              <w:rPr>
                <w:highlight w:val="none"/>
              </w:rPr>
            </w:pPr>
            <w:r>
              <w:rPr>
                <w:rFonts w:hint="eastAsia"/>
                <w:highlight w:val="none"/>
              </w:rPr>
              <w:t>3.6 特殊检测范围：主要针对地铁穿越后影响、空心板梁铰缝损伤、独柱墩桥梁抗倾覆验算、人行天桥栏杆横向推力检测等，以外观检测评定、结构检算、试验验证为主。</w:t>
            </w:r>
          </w:p>
        </w:tc>
      </w:tr>
      <w:tr w14:paraId="10A9494C">
        <w:tblPrEx>
          <w:tblBorders>
            <w:top w:val="single" w:color="auto" w:sz="0" w:space="0"/>
            <w:left w:val="single" w:color="auto" w:sz="0" w:space="0"/>
            <w:bottom w:val="single" w:color="auto" w:sz="0" w:space="0"/>
            <w:right w:val="single" w:color="auto" w:sz="0" w:space="0"/>
            <w:insideH w:val="single" w:color="auto" w:sz="0" w:space="0"/>
            <w:insideV w:val="singl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244" w:type="dxa"/>
          </w:tcPr>
          <w:p w14:paraId="272D3A72">
            <w:pPr>
              <w:rPr>
                <w:highlight w:val="none"/>
              </w:rPr>
            </w:pPr>
          </w:p>
        </w:tc>
        <w:tc>
          <w:tcPr>
            <w:tcW w:w="800" w:type="dxa"/>
          </w:tcPr>
          <w:p w14:paraId="2BE9C427">
            <w:pPr>
              <w:pStyle w:val="4"/>
              <w:rPr>
                <w:rFonts w:hint="eastAsia" w:eastAsiaTheme="minorEastAsia"/>
                <w:highlight w:val="none"/>
                <w:lang w:val="en-US" w:eastAsia="zh-CN"/>
              </w:rPr>
            </w:pPr>
            <w:r>
              <w:rPr>
                <w:rFonts w:hint="eastAsia"/>
                <w:highlight w:val="none"/>
                <w:lang w:val="en-US" w:eastAsia="zh-CN"/>
              </w:rPr>
              <w:t>2</w:t>
            </w:r>
          </w:p>
        </w:tc>
        <w:tc>
          <w:tcPr>
            <w:tcW w:w="6478" w:type="dxa"/>
          </w:tcPr>
          <w:tbl>
            <w:tblPr>
              <w:tblStyle w:val="2"/>
              <w:tblW w:w="4997" w:type="pct"/>
              <w:tblInd w:w="0" w:type="dxa"/>
              <w:tblBorders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  <w:insideH w:val="none" w:color="auto" w:sz="0" w:space="0"/>
                <w:insideV w:val="none" w:color="auto" w:sz="0" w:space="0"/>
              </w:tblBorders>
              <w:shd w:val="clear" w:color="auto" w:fill="auto"/>
              <w:tblLayout w:type="autofit"/>
              <w:tblCellMar>
                <w:top w:w="0" w:type="dxa"/>
                <w:left w:w="108" w:type="dxa"/>
                <w:bottom w:w="0" w:type="dxa"/>
                <w:right w:w="108" w:type="dxa"/>
              </w:tblCellMar>
            </w:tblPr>
            <w:tblGrid>
              <w:gridCol w:w="464"/>
              <w:gridCol w:w="1207"/>
              <w:gridCol w:w="1331"/>
              <w:gridCol w:w="714"/>
              <w:gridCol w:w="714"/>
              <w:gridCol w:w="590"/>
              <w:gridCol w:w="838"/>
              <w:gridCol w:w="1087"/>
              <w:gridCol w:w="650"/>
            </w:tblGrid>
            <w:tr w14:paraId="05682B1D">
              <w:tblPrEx>
                <w:tblBorders>
                  <w:top w:val="none" w:color="auto" w:sz="0" w:space="0"/>
                  <w:left w:val="none" w:color="auto" w:sz="0" w:space="0"/>
                  <w:bottom w:val="none" w:color="auto" w:sz="0" w:space="0"/>
                  <w:right w:val="none" w:color="auto" w:sz="0" w:space="0"/>
                  <w:insideH w:val="none" w:color="auto" w:sz="0" w:space="0"/>
                  <w:insideV w:val="none" w:color="auto" w:sz="0" w:space="0"/>
                </w:tblBorders>
                <w:tblCellMar>
                  <w:top w:w="0" w:type="dxa"/>
                  <w:left w:w="108" w:type="dxa"/>
                  <w:bottom w:w="0" w:type="dxa"/>
                  <w:right w:w="108" w:type="dxa"/>
                </w:tblCellMar>
              </w:tblPrEx>
              <w:trPr>
                <w:trHeight w:val="900" w:hRule="atLeast"/>
              </w:trPr>
              <w:tc>
                <w:tcPr>
                  <w:tcW w:w="240" w:type="pct"/>
                  <w:tcBorders>
                    <w:top w:val="single" w:color="000000" w:sz="4" w:space="0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shd w:val="clear" w:color="auto" w:fill="auto"/>
                  <w:noWrap/>
                  <w:vAlign w:val="center"/>
                </w:tcPr>
                <w:p w14:paraId="494ABBDB">
                  <w:pPr>
                    <w:keepNext w:val="0"/>
                    <w:keepLines w:val="0"/>
                    <w:widowControl/>
                    <w:suppressLineNumbers w:val="0"/>
                    <w:jc w:val="center"/>
                    <w:textAlignment w:val="center"/>
                    <w:rPr>
                      <w:rFonts w:hint="eastAsia" w:ascii="宋体" w:hAnsi="宋体" w:eastAsia="宋体" w:cs="宋体"/>
                      <w:b/>
                      <w:bCs/>
                      <w:i w:val="0"/>
                      <w:iCs w:val="0"/>
                      <w:color w:val="000000"/>
                      <w:sz w:val="20"/>
                      <w:szCs w:val="20"/>
                      <w:highlight w:val="none"/>
                      <w:u w:val="none"/>
                    </w:rPr>
                  </w:pPr>
                  <w:r>
                    <w:rPr>
                      <w:rFonts w:hint="eastAsia" w:ascii="宋体" w:hAnsi="宋体" w:eastAsia="宋体" w:cs="宋体"/>
                      <w:b/>
                      <w:bCs/>
                      <w:i w:val="0"/>
                      <w:iCs w:val="0"/>
                      <w:color w:val="000000"/>
                      <w:kern w:val="0"/>
                      <w:sz w:val="20"/>
                      <w:szCs w:val="20"/>
                      <w:highlight w:val="none"/>
                      <w:u w:val="none"/>
                      <w:lang w:val="en-US" w:eastAsia="zh-CN" w:bidi="ar"/>
                    </w:rPr>
                    <w:t>序号</w:t>
                  </w:r>
                </w:p>
              </w:tc>
              <w:tc>
                <w:tcPr>
                  <w:tcW w:w="521" w:type="pct"/>
                  <w:tcBorders>
                    <w:top w:val="single" w:color="000000" w:sz="4" w:space="0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shd w:val="clear" w:color="auto" w:fill="auto"/>
                  <w:noWrap/>
                  <w:vAlign w:val="center"/>
                </w:tcPr>
                <w:p w14:paraId="3896ECD7">
                  <w:pPr>
                    <w:keepNext w:val="0"/>
                    <w:keepLines w:val="0"/>
                    <w:widowControl/>
                    <w:suppressLineNumbers w:val="0"/>
                    <w:jc w:val="center"/>
                    <w:textAlignment w:val="center"/>
                    <w:rPr>
                      <w:rFonts w:hint="eastAsia" w:ascii="宋体" w:hAnsi="宋体" w:eastAsia="宋体" w:cs="宋体"/>
                      <w:b/>
                      <w:bCs/>
                      <w:i w:val="0"/>
                      <w:iCs w:val="0"/>
                      <w:color w:val="000000"/>
                      <w:sz w:val="20"/>
                      <w:szCs w:val="20"/>
                      <w:highlight w:val="none"/>
                      <w:u w:val="none"/>
                    </w:rPr>
                  </w:pPr>
                  <w:r>
                    <w:rPr>
                      <w:rFonts w:hint="eastAsia" w:ascii="宋体" w:hAnsi="宋体" w:eastAsia="宋体" w:cs="宋体"/>
                      <w:b/>
                      <w:bCs/>
                      <w:i w:val="0"/>
                      <w:iCs w:val="0"/>
                      <w:color w:val="000000"/>
                      <w:kern w:val="0"/>
                      <w:sz w:val="20"/>
                      <w:szCs w:val="20"/>
                      <w:highlight w:val="none"/>
                      <w:u w:val="none"/>
                      <w:lang w:val="en-US" w:eastAsia="zh-CN" w:bidi="ar"/>
                    </w:rPr>
                    <w:t>桥名</w:t>
                  </w:r>
                </w:p>
              </w:tc>
              <w:tc>
                <w:tcPr>
                  <w:tcW w:w="1253" w:type="pct"/>
                  <w:tcBorders>
                    <w:top w:val="single" w:color="000000" w:sz="4" w:space="0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shd w:val="clear" w:color="auto" w:fill="auto"/>
                  <w:noWrap/>
                  <w:vAlign w:val="center"/>
                </w:tcPr>
                <w:p w14:paraId="756ED1AF">
                  <w:pPr>
                    <w:keepNext w:val="0"/>
                    <w:keepLines w:val="0"/>
                    <w:widowControl/>
                    <w:suppressLineNumbers w:val="0"/>
                    <w:jc w:val="center"/>
                    <w:textAlignment w:val="center"/>
                    <w:rPr>
                      <w:rFonts w:hint="eastAsia" w:ascii="宋体" w:hAnsi="宋体" w:eastAsia="宋体" w:cs="宋体"/>
                      <w:b/>
                      <w:bCs/>
                      <w:i w:val="0"/>
                      <w:iCs w:val="0"/>
                      <w:color w:val="000000"/>
                      <w:sz w:val="20"/>
                      <w:szCs w:val="20"/>
                      <w:highlight w:val="none"/>
                      <w:u w:val="none"/>
                    </w:rPr>
                  </w:pPr>
                  <w:r>
                    <w:rPr>
                      <w:rFonts w:hint="eastAsia" w:ascii="宋体" w:hAnsi="宋体" w:eastAsia="宋体" w:cs="宋体"/>
                      <w:b/>
                      <w:bCs/>
                      <w:i w:val="0"/>
                      <w:iCs w:val="0"/>
                      <w:color w:val="000000"/>
                      <w:kern w:val="0"/>
                      <w:sz w:val="20"/>
                      <w:szCs w:val="20"/>
                      <w:highlight w:val="none"/>
                      <w:u w:val="none"/>
                      <w:lang w:val="en-US" w:eastAsia="zh-CN" w:bidi="ar"/>
                    </w:rPr>
                    <w:t>结构形式</w:t>
                  </w:r>
                </w:p>
              </w:tc>
              <w:tc>
                <w:tcPr>
                  <w:tcW w:w="396" w:type="pct"/>
                  <w:tcBorders>
                    <w:top w:val="single" w:color="000000" w:sz="4" w:space="0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shd w:val="clear" w:color="auto" w:fill="auto"/>
                  <w:noWrap/>
                  <w:vAlign w:val="center"/>
                </w:tcPr>
                <w:p w14:paraId="0F0A51FD">
                  <w:pPr>
                    <w:keepNext w:val="0"/>
                    <w:keepLines w:val="0"/>
                    <w:widowControl/>
                    <w:suppressLineNumbers w:val="0"/>
                    <w:jc w:val="center"/>
                    <w:textAlignment w:val="center"/>
                    <w:rPr>
                      <w:rFonts w:hint="eastAsia" w:ascii="宋体" w:hAnsi="宋体" w:eastAsia="宋体" w:cs="宋体"/>
                      <w:b/>
                      <w:bCs/>
                      <w:i w:val="0"/>
                      <w:iCs w:val="0"/>
                      <w:color w:val="000000"/>
                      <w:sz w:val="20"/>
                      <w:szCs w:val="20"/>
                      <w:highlight w:val="none"/>
                      <w:u w:val="none"/>
                    </w:rPr>
                  </w:pPr>
                  <w:r>
                    <w:rPr>
                      <w:rFonts w:hint="eastAsia" w:ascii="宋体" w:hAnsi="宋体" w:eastAsia="宋体" w:cs="宋体"/>
                      <w:b/>
                      <w:bCs/>
                      <w:i w:val="0"/>
                      <w:iCs w:val="0"/>
                      <w:color w:val="000000"/>
                      <w:kern w:val="0"/>
                      <w:sz w:val="20"/>
                      <w:szCs w:val="20"/>
                      <w:highlight w:val="none"/>
                      <w:u w:val="none"/>
                      <w:lang w:val="en-US" w:eastAsia="zh-CN" w:bidi="ar"/>
                    </w:rPr>
                    <w:t>检测项目</w:t>
                  </w:r>
                </w:p>
              </w:tc>
              <w:tc>
                <w:tcPr>
                  <w:tcW w:w="348" w:type="pct"/>
                  <w:tcBorders>
                    <w:top w:val="single" w:color="000000" w:sz="4" w:space="0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shd w:val="clear" w:color="auto" w:fill="auto"/>
                  <w:noWrap/>
                  <w:vAlign w:val="center"/>
                </w:tcPr>
                <w:p w14:paraId="60E3C139">
                  <w:pPr>
                    <w:keepNext w:val="0"/>
                    <w:keepLines w:val="0"/>
                    <w:widowControl/>
                    <w:suppressLineNumbers w:val="0"/>
                    <w:jc w:val="center"/>
                    <w:textAlignment w:val="center"/>
                    <w:rPr>
                      <w:rFonts w:hint="eastAsia" w:ascii="宋体" w:hAnsi="宋体" w:eastAsia="宋体" w:cs="宋体"/>
                      <w:b/>
                      <w:bCs/>
                      <w:i w:val="0"/>
                      <w:iCs w:val="0"/>
                      <w:color w:val="000000"/>
                      <w:sz w:val="20"/>
                      <w:szCs w:val="20"/>
                      <w:highlight w:val="none"/>
                      <w:u w:val="none"/>
                    </w:rPr>
                  </w:pPr>
                  <w:r>
                    <w:rPr>
                      <w:rFonts w:hint="eastAsia" w:ascii="宋体" w:hAnsi="宋体" w:eastAsia="宋体" w:cs="宋体"/>
                      <w:b/>
                      <w:bCs/>
                      <w:i w:val="0"/>
                      <w:iCs w:val="0"/>
                      <w:color w:val="000000"/>
                      <w:kern w:val="0"/>
                      <w:sz w:val="20"/>
                      <w:szCs w:val="20"/>
                      <w:highlight w:val="none"/>
                      <w:u w:val="none"/>
                      <w:lang w:val="en-US" w:eastAsia="zh-CN" w:bidi="ar"/>
                    </w:rPr>
                    <w:t>养护类别</w:t>
                  </w:r>
                </w:p>
              </w:tc>
              <w:tc>
                <w:tcPr>
                  <w:tcW w:w="296" w:type="pct"/>
                  <w:tcBorders>
                    <w:top w:val="single" w:color="000000" w:sz="4" w:space="0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shd w:val="clear" w:color="auto" w:fill="auto"/>
                  <w:vAlign w:val="center"/>
                </w:tcPr>
                <w:p w14:paraId="35F68F3F">
                  <w:pPr>
                    <w:keepNext w:val="0"/>
                    <w:keepLines w:val="0"/>
                    <w:widowControl/>
                    <w:suppressLineNumbers w:val="0"/>
                    <w:jc w:val="center"/>
                    <w:textAlignment w:val="center"/>
                    <w:rPr>
                      <w:rFonts w:hint="eastAsia" w:ascii="宋体" w:hAnsi="宋体" w:eastAsia="宋体" w:cs="宋体"/>
                      <w:b/>
                      <w:bCs/>
                      <w:i w:val="0"/>
                      <w:iCs w:val="0"/>
                      <w:color w:val="000000"/>
                      <w:sz w:val="20"/>
                      <w:szCs w:val="20"/>
                      <w:highlight w:val="none"/>
                      <w:u w:val="none"/>
                    </w:rPr>
                  </w:pPr>
                  <w:r>
                    <w:rPr>
                      <w:rFonts w:hint="eastAsia" w:ascii="宋体" w:hAnsi="宋体" w:eastAsia="宋体" w:cs="宋体"/>
                      <w:b/>
                      <w:bCs/>
                      <w:i w:val="0"/>
                      <w:iCs w:val="0"/>
                      <w:color w:val="000000"/>
                      <w:kern w:val="0"/>
                      <w:sz w:val="20"/>
                      <w:szCs w:val="20"/>
                      <w:highlight w:val="none"/>
                      <w:u w:val="none"/>
                      <w:lang w:val="en-US" w:eastAsia="zh-CN" w:bidi="ar"/>
                    </w:rPr>
                    <w:t>总长度</w:t>
                  </w:r>
                  <w:r>
                    <w:rPr>
                      <w:rFonts w:hint="eastAsia" w:ascii="宋体" w:hAnsi="宋体" w:eastAsia="宋体" w:cs="宋体"/>
                      <w:b/>
                      <w:bCs/>
                      <w:i w:val="0"/>
                      <w:iCs w:val="0"/>
                      <w:color w:val="000000"/>
                      <w:kern w:val="0"/>
                      <w:sz w:val="20"/>
                      <w:szCs w:val="20"/>
                      <w:highlight w:val="none"/>
                      <w:u w:val="none"/>
                      <w:lang w:val="en-US" w:eastAsia="zh-CN" w:bidi="ar"/>
                    </w:rPr>
                    <w:br w:type="textWrapping"/>
                  </w:r>
                  <w:r>
                    <w:rPr>
                      <w:rFonts w:hint="eastAsia" w:ascii="宋体" w:hAnsi="宋体" w:eastAsia="宋体" w:cs="宋体"/>
                      <w:b/>
                      <w:bCs/>
                      <w:i w:val="0"/>
                      <w:iCs w:val="0"/>
                      <w:color w:val="000000"/>
                      <w:kern w:val="0"/>
                      <w:sz w:val="20"/>
                      <w:szCs w:val="20"/>
                      <w:highlight w:val="none"/>
                      <w:u w:val="none"/>
                      <w:lang w:val="en-US" w:eastAsia="zh-CN" w:bidi="ar"/>
                    </w:rPr>
                    <w:t>（米）</w:t>
                  </w:r>
                </w:p>
              </w:tc>
              <w:tc>
                <w:tcPr>
                  <w:tcW w:w="340" w:type="pct"/>
                  <w:tcBorders>
                    <w:top w:val="single" w:color="000000" w:sz="4" w:space="0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shd w:val="clear" w:color="auto" w:fill="FFFFFF"/>
                  <w:noWrap/>
                  <w:vAlign w:val="center"/>
                </w:tcPr>
                <w:p w14:paraId="5093C6D9">
                  <w:pPr>
                    <w:keepNext w:val="0"/>
                    <w:keepLines w:val="0"/>
                    <w:widowControl/>
                    <w:suppressLineNumbers w:val="0"/>
                    <w:jc w:val="center"/>
                    <w:textAlignment w:val="center"/>
                    <w:rPr>
                      <w:rFonts w:hint="eastAsia" w:ascii="宋体" w:hAnsi="宋体" w:eastAsia="宋体" w:cs="宋体"/>
                      <w:b/>
                      <w:bCs/>
                      <w:i w:val="0"/>
                      <w:iCs w:val="0"/>
                      <w:color w:val="000000"/>
                      <w:sz w:val="20"/>
                      <w:szCs w:val="20"/>
                      <w:highlight w:val="none"/>
                      <w:u w:val="none"/>
                    </w:rPr>
                  </w:pPr>
                  <w:r>
                    <w:rPr>
                      <w:rFonts w:hint="eastAsia" w:ascii="宋体" w:hAnsi="宋体" w:eastAsia="宋体" w:cs="宋体"/>
                      <w:b/>
                      <w:bCs/>
                      <w:i w:val="0"/>
                      <w:iCs w:val="0"/>
                      <w:color w:val="000000"/>
                      <w:kern w:val="0"/>
                      <w:sz w:val="20"/>
                      <w:szCs w:val="20"/>
                      <w:highlight w:val="none"/>
                      <w:u w:val="none"/>
                      <w:lang w:val="en-US" w:eastAsia="zh-CN" w:bidi="ar"/>
                    </w:rPr>
                    <w:t>面积（㎡）</w:t>
                  </w:r>
                </w:p>
              </w:tc>
              <w:tc>
                <w:tcPr>
                  <w:tcW w:w="1012" w:type="pct"/>
                  <w:tcBorders>
                    <w:top w:val="single" w:color="000000" w:sz="4" w:space="0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shd w:val="clear" w:color="auto" w:fill="auto"/>
                  <w:noWrap/>
                  <w:vAlign w:val="center"/>
                </w:tcPr>
                <w:p w14:paraId="7F344B9B">
                  <w:pPr>
                    <w:keepNext w:val="0"/>
                    <w:keepLines w:val="0"/>
                    <w:widowControl/>
                    <w:suppressLineNumbers w:val="0"/>
                    <w:jc w:val="center"/>
                    <w:textAlignment w:val="center"/>
                    <w:rPr>
                      <w:rFonts w:hint="eastAsia" w:ascii="宋体" w:hAnsi="宋体" w:eastAsia="宋体" w:cs="宋体"/>
                      <w:b/>
                      <w:bCs/>
                      <w:i w:val="0"/>
                      <w:iCs w:val="0"/>
                      <w:color w:val="000000"/>
                      <w:sz w:val="20"/>
                      <w:szCs w:val="20"/>
                      <w:highlight w:val="none"/>
                      <w:u w:val="none"/>
                    </w:rPr>
                  </w:pPr>
                  <w:r>
                    <w:rPr>
                      <w:rFonts w:hint="eastAsia" w:ascii="宋体" w:hAnsi="宋体" w:eastAsia="宋体" w:cs="宋体"/>
                      <w:b/>
                      <w:bCs/>
                      <w:i w:val="0"/>
                      <w:iCs w:val="0"/>
                      <w:color w:val="000000"/>
                      <w:kern w:val="0"/>
                      <w:sz w:val="20"/>
                      <w:szCs w:val="20"/>
                      <w:highlight w:val="none"/>
                      <w:u w:val="none"/>
                      <w:lang w:val="en-US" w:eastAsia="zh-CN" w:bidi="ar"/>
                    </w:rPr>
                    <w:t>检测依据及成果</w:t>
                  </w:r>
                </w:p>
              </w:tc>
              <w:tc>
                <w:tcPr>
                  <w:tcW w:w="590" w:type="pct"/>
                  <w:tcBorders>
                    <w:top w:val="single" w:color="000000" w:sz="4" w:space="0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shd w:val="clear" w:color="auto" w:fill="auto"/>
                  <w:noWrap/>
                  <w:vAlign w:val="center"/>
                </w:tcPr>
                <w:p w14:paraId="0440622C">
                  <w:pPr>
                    <w:keepNext w:val="0"/>
                    <w:keepLines w:val="0"/>
                    <w:widowControl/>
                    <w:suppressLineNumbers w:val="0"/>
                    <w:jc w:val="center"/>
                    <w:textAlignment w:val="center"/>
                    <w:rPr>
                      <w:rFonts w:hint="eastAsia" w:ascii="宋体" w:hAnsi="宋体" w:eastAsia="宋体" w:cs="宋体"/>
                      <w:b/>
                      <w:bCs/>
                      <w:i w:val="0"/>
                      <w:iCs w:val="0"/>
                      <w:color w:val="000000"/>
                      <w:sz w:val="20"/>
                      <w:szCs w:val="20"/>
                      <w:highlight w:val="none"/>
                      <w:u w:val="none"/>
                    </w:rPr>
                  </w:pPr>
                  <w:r>
                    <w:rPr>
                      <w:rFonts w:hint="eastAsia" w:ascii="宋体" w:hAnsi="宋体" w:eastAsia="宋体" w:cs="宋体"/>
                      <w:b/>
                      <w:bCs/>
                      <w:i w:val="0"/>
                      <w:iCs w:val="0"/>
                      <w:color w:val="000000"/>
                      <w:kern w:val="0"/>
                      <w:sz w:val="20"/>
                      <w:szCs w:val="20"/>
                      <w:highlight w:val="none"/>
                      <w:u w:val="none"/>
                      <w:lang w:val="en-US" w:eastAsia="zh-CN" w:bidi="ar"/>
                    </w:rPr>
                    <w:t>备注</w:t>
                  </w:r>
                </w:p>
              </w:tc>
            </w:tr>
            <w:tr w14:paraId="2F8AE605">
              <w:tblPrEx>
                <w:tblBorders>
                  <w:top w:val="none" w:color="auto" w:sz="0" w:space="0"/>
                  <w:left w:val="none" w:color="auto" w:sz="0" w:space="0"/>
                  <w:bottom w:val="none" w:color="auto" w:sz="0" w:space="0"/>
                  <w:right w:val="none" w:color="auto" w:sz="0" w:space="0"/>
                  <w:insideH w:val="none" w:color="auto" w:sz="0" w:space="0"/>
                  <w:insideV w:val="none" w:color="auto" w:sz="0" w:space="0"/>
                </w:tblBorders>
                <w:shd w:val="clear" w:color="auto" w:fill="auto"/>
                <w:tblCellMar>
                  <w:top w:w="0" w:type="dxa"/>
                  <w:left w:w="108" w:type="dxa"/>
                  <w:bottom w:w="0" w:type="dxa"/>
                  <w:right w:w="108" w:type="dxa"/>
                </w:tblCellMar>
              </w:tblPrEx>
              <w:trPr>
                <w:trHeight w:val="2300" w:hRule="atLeast"/>
              </w:trPr>
              <w:tc>
                <w:tcPr>
                  <w:tcW w:w="240" w:type="pct"/>
                  <w:tcBorders>
                    <w:top w:val="single" w:color="000000" w:sz="4" w:space="0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shd w:val="clear" w:color="auto" w:fill="auto"/>
                  <w:noWrap/>
                  <w:vAlign w:val="center"/>
                </w:tcPr>
                <w:p w14:paraId="0A1B85AB">
                  <w:pPr>
                    <w:keepNext w:val="0"/>
                    <w:keepLines w:val="0"/>
                    <w:widowControl/>
                    <w:suppressLineNumbers w:val="0"/>
                    <w:jc w:val="center"/>
                    <w:textAlignment w:val="center"/>
                    <w:rPr>
                      <w:rFonts w:hint="eastAsia" w:ascii="宋体" w:hAnsi="宋体" w:eastAsia="宋体" w:cs="宋体"/>
                      <w:i w:val="0"/>
                      <w:iCs w:val="0"/>
                      <w:color w:val="000000"/>
                      <w:sz w:val="20"/>
                      <w:szCs w:val="20"/>
                      <w:highlight w:val="none"/>
                      <w:u w:val="none"/>
                    </w:rPr>
                  </w:pPr>
                  <w:r>
                    <w:rPr>
                      <w:rFonts w:hint="eastAsia" w:ascii="宋体" w:hAnsi="宋体" w:eastAsia="宋体" w:cs="宋体"/>
                      <w:i w:val="0"/>
                      <w:iCs w:val="0"/>
                      <w:color w:val="000000"/>
                      <w:kern w:val="0"/>
                      <w:sz w:val="20"/>
                      <w:szCs w:val="20"/>
                      <w:highlight w:val="none"/>
                      <w:u w:val="none"/>
                      <w:lang w:val="en-US" w:eastAsia="zh-CN" w:bidi="ar"/>
                    </w:rPr>
                    <w:t>1</w:t>
                  </w:r>
                </w:p>
              </w:tc>
              <w:tc>
                <w:tcPr>
                  <w:tcW w:w="521" w:type="pct"/>
                  <w:tcBorders>
                    <w:top w:val="single" w:color="000000" w:sz="4" w:space="0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shd w:val="clear" w:color="auto" w:fill="auto"/>
                  <w:noWrap/>
                  <w:vAlign w:val="center"/>
                </w:tcPr>
                <w:p w14:paraId="16FE1E5F">
                  <w:pPr>
                    <w:keepNext w:val="0"/>
                    <w:keepLines w:val="0"/>
                    <w:widowControl/>
                    <w:suppressLineNumbers w:val="0"/>
                    <w:jc w:val="center"/>
                    <w:textAlignment w:val="center"/>
                    <w:rPr>
                      <w:rFonts w:hint="eastAsia" w:ascii="宋体" w:hAnsi="宋体" w:eastAsia="宋体" w:cs="宋体"/>
                      <w:i w:val="0"/>
                      <w:iCs w:val="0"/>
                      <w:color w:val="000000"/>
                      <w:sz w:val="20"/>
                      <w:szCs w:val="20"/>
                      <w:highlight w:val="none"/>
                      <w:u w:val="none"/>
                    </w:rPr>
                  </w:pPr>
                  <w:r>
                    <w:rPr>
                      <w:rFonts w:hint="eastAsia" w:ascii="宋体" w:hAnsi="宋体" w:eastAsia="宋体" w:cs="宋体"/>
                      <w:i w:val="0"/>
                      <w:iCs w:val="0"/>
                      <w:color w:val="000000"/>
                      <w:kern w:val="0"/>
                      <w:sz w:val="20"/>
                      <w:szCs w:val="20"/>
                      <w:highlight w:val="none"/>
                      <w:u w:val="none"/>
                      <w:lang w:val="en-US" w:eastAsia="zh-CN" w:bidi="ar"/>
                    </w:rPr>
                    <w:t>后卫寨立交桥</w:t>
                  </w:r>
                </w:p>
              </w:tc>
              <w:tc>
                <w:tcPr>
                  <w:tcW w:w="1253" w:type="pct"/>
                  <w:tcBorders>
                    <w:top w:val="single" w:color="000000" w:sz="4" w:space="0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shd w:val="clear" w:color="auto" w:fill="auto"/>
                  <w:vAlign w:val="center"/>
                </w:tcPr>
                <w:p w14:paraId="4E6B51B1">
                  <w:pPr>
                    <w:keepNext w:val="0"/>
                    <w:keepLines w:val="0"/>
                    <w:widowControl/>
                    <w:suppressLineNumbers w:val="0"/>
                    <w:jc w:val="left"/>
                    <w:textAlignment w:val="center"/>
                    <w:rPr>
                      <w:rFonts w:hint="eastAsia" w:ascii="宋体" w:hAnsi="宋体" w:eastAsia="宋体" w:cs="宋体"/>
                      <w:i w:val="0"/>
                      <w:iCs w:val="0"/>
                      <w:color w:val="000000"/>
                      <w:sz w:val="20"/>
                      <w:szCs w:val="20"/>
                      <w:highlight w:val="none"/>
                      <w:u w:val="none"/>
                    </w:rPr>
                  </w:pPr>
                  <w:r>
                    <w:rPr>
                      <w:rFonts w:hint="eastAsia" w:ascii="宋体" w:hAnsi="宋体" w:eastAsia="宋体" w:cs="宋体"/>
                      <w:i w:val="0"/>
                      <w:iCs w:val="0"/>
                      <w:color w:val="000000"/>
                      <w:kern w:val="0"/>
                      <w:sz w:val="20"/>
                      <w:szCs w:val="20"/>
                      <w:highlight w:val="none"/>
                      <w:u w:val="none"/>
                      <w:lang w:val="en-US" w:eastAsia="zh-CN" w:bidi="ar"/>
                    </w:rPr>
                    <w:t>分离式桥梁，单幅三车道;</w:t>
                  </w:r>
                  <w:r>
                    <w:rPr>
                      <w:rFonts w:hint="eastAsia" w:ascii="宋体" w:hAnsi="宋体" w:eastAsia="宋体" w:cs="宋体"/>
                      <w:i w:val="0"/>
                      <w:iCs w:val="0"/>
                      <w:color w:val="000000"/>
                      <w:kern w:val="0"/>
                      <w:sz w:val="20"/>
                      <w:szCs w:val="20"/>
                      <w:highlight w:val="none"/>
                      <w:u w:val="none"/>
                      <w:lang w:val="en-US" w:eastAsia="zh-CN" w:bidi="ar"/>
                    </w:rPr>
                    <w:br w:type="textWrapping"/>
                  </w:r>
                  <w:r>
                    <w:rPr>
                      <w:rFonts w:hint="eastAsia" w:ascii="宋体" w:hAnsi="宋体" w:eastAsia="宋体" w:cs="宋体"/>
                      <w:i w:val="0"/>
                      <w:iCs w:val="0"/>
                      <w:color w:val="000000"/>
                      <w:kern w:val="0"/>
                      <w:sz w:val="20"/>
                      <w:szCs w:val="20"/>
                      <w:highlight w:val="none"/>
                      <w:u w:val="none"/>
                      <w:lang w:val="en-US" w:eastAsia="zh-CN" w:bidi="ar"/>
                    </w:rPr>
                    <w:t>南幅：1-24跨、30-38跨等截面连续箱梁；25-29跨变截面连续箱梁</w:t>
                  </w:r>
                  <w:r>
                    <w:rPr>
                      <w:rFonts w:hint="eastAsia" w:ascii="宋体" w:hAnsi="宋体" w:eastAsia="宋体" w:cs="宋体"/>
                      <w:i w:val="0"/>
                      <w:iCs w:val="0"/>
                      <w:color w:val="000000"/>
                      <w:kern w:val="0"/>
                      <w:sz w:val="20"/>
                      <w:szCs w:val="20"/>
                      <w:highlight w:val="none"/>
                      <w:u w:val="none"/>
                      <w:lang w:val="en-US" w:eastAsia="zh-CN" w:bidi="ar"/>
                    </w:rPr>
                    <w:br w:type="textWrapping"/>
                  </w:r>
                  <w:r>
                    <w:rPr>
                      <w:rFonts w:hint="eastAsia" w:ascii="宋体" w:hAnsi="宋体" w:eastAsia="宋体" w:cs="宋体"/>
                      <w:i w:val="0"/>
                      <w:iCs w:val="0"/>
                      <w:color w:val="000000"/>
                      <w:kern w:val="0"/>
                      <w:sz w:val="20"/>
                      <w:szCs w:val="20"/>
                      <w:highlight w:val="none"/>
                      <w:u w:val="none"/>
                      <w:lang w:val="en-US" w:eastAsia="zh-CN" w:bidi="ar"/>
                    </w:rPr>
                    <w:t>北幅：1-27跨、32-39等截面连续箱梁；28-31跨变截面连续箱梁</w:t>
                  </w:r>
                  <w:r>
                    <w:rPr>
                      <w:rFonts w:hint="eastAsia" w:ascii="宋体" w:hAnsi="宋体" w:eastAsia="宋体" w:cs="宋体"/>
                      <w:i w:val="0"/>
                      <w:iCs w:val="0"/>
                      <w:color w:val="000000"/>
                      <w:kern w:val="0"/>
                      <w:sz w:val="20"/>
                      <w:szCs w:val="20"/>
                      <w:highlight w:val="none"/>
                      <w:u w:val="none"/>
                      <w:lang w:val="en-US" w:eastAsia="zh-CN" w:bidi="ar"/>
                    </w:rPr>
                    <w:br w:type="textWrapping"/>
                  </w:r>
                  <w:r>
                    <w:rPr>
                      <w:rFonts w:hint="eastAsia" w:ascii="宋体" w:hAnsi="宋体" w:eastAsia="宋体" w:cs="宋体"/>
                      <w:i w:val="0"/>
                      <w:iCs w:val="0"/>
                      <w:color w:val="000000"/>
                      <w:kern w:val="0"/>
                      <w:sz w:val="20"/>
                      <w:szCs w:val="20"/>
                      <w:highlight w:val="none"/>
                      <w:u w:val="none"/>
                      <w:lang w:val="en-US" w:eastAsia="zh-CN" w:bidi="ar"/>
                    </w:rPr>
                    <w:t>A匝道 1-11跨等截面连续箱梁</w:t>
                  </w:r>
                  <w:r>
                    <w:rPr>
                      <w:rFonts w:hint="eastAsia" w:ascii="宋体" w:hAnsi="宋体" w:eastAsia="宋体" w:cs="宋体"/>
                      <w:i w:val="0"/>
                      <w:iCs w:val="0"/>
                      <w:color w:val="000000"/>
                      <w:kern w:val="0"/>
                      <w:sz w:val="20"/>
                      <w:szCs w:val="20"/>
                      <w:highlight w:val="none"/>
                      <w:u w:val="none"/>
                      <w:lang w:val="en-US" w:eastAsia="zh-CN" w:bidi="ar"/>
                    </w:rPr>
                    <w:br w:type="textWrapping"/>
                  </w:r>
                  <w:r>
                    <w:rPr>
                      <w:rFonts w:hint="eastAsia" w:ascii="宋体" w:hAnsi="宋体" w:eastAsia="宋体" w:cs="宋体"/>
                      <w:i w:val="0"/>
                      <w:iCs w:val="0"/>
                      <w:color w:val="000000"/>
                      <w:kern w:val="0"/>
                      <w:sz w:val="20"/>
                      <w:szCs w:val="20"/>
                      <w:highlight w:val="none"/>
                      <w:u w:val="none"/>
                      <w:lang w:val="en-US" w:eastAsia="zh-CN" w:bidi="ar"/>
                    </w:rPr>
                    <w:t>B匝道1-6跨、11-15跨为等截面连续箱梁；</w:t>
                  </w:r>
                  <w:r>
                    <w:rPr>
                      <w:rFonts w:hint="eastAsia" w:ascii="宋体" w:hAnsi="宋体" w:eastAsia="宋体" w:cs="宋体"/>
                      <w:i w:val="0"/>
                      <w:iCs w:val="0"/>
                      <w:color w:val="000000"/>
                      <w:kern w:val="0"/>
                      <w:sz w:val="20"/>
                      <w:szCs w:val="20"/>
                      <w:highlight w:val="none"/>
                      <w:u w:val="none"/>
                      <w:lang w:val="en-US" w:eastAsia="zh-CN" w:bidi="ar"/>
                    </w:rPr>
                    <w:br w:type="textWrapping"/>
                  </w:r>
                  <w:r>
                    <w:rPr>
                      <w:rFonts w:hint="eastAsia" w:ascii="宋体" w:hAnsi="宋体" w:eastAsia="宋体" w:cs="宋体"/>
                      <w:i w:val="0"/>
                      <w:iCs w:val="0"/>
                      <w:color w:val="000000"/>
                      <w:kern w:val="0"/>
                      <w:sz w:val="20"/>
                      <w:szCs w:val="20"/>
                      <w:highlight w:val="none"/>
                      <w:u w:val="none"/>
                      <w:lang w:val="en-US" w:eastAsia="zh-CN" w:bidi="ar"/>
                    </w:rPr>
                    <w:t>7-10跨为等截面连续钢箱梁</w:t>
                  </w:r>
                </w:p>
              </w:tc>
              <w:tc>
                <w:tcPr>
                  <w:tcW w:w="396" w:type="pct"/>
                  <w:tcBorders>
                    <w:top w:val="single" w:color="000000" w:sz="4" w:space="0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shd w:val="clear" w:color="auto" w:fill="auto"/>
                  <w:vAlign w:val="center"/>
                </w:tcPr>
                <w:p w14:paraId="543B1D31">
                  <w:pPr>
                    <w:keepNext w:val="0"/>
                    <w:keepLines w:val="0"/>
                    <w:widowControl/>
                    <w:suppressLineNumbers w:val="0"/>
                    <w:jc w:val="center"/>
                    <w:textAlignment w:val="center"/>
                    <w:rPr>
                      <w:rFonts w:hint="eastAsia" w:ascii="宋体" w:hAnsi="宋体" w:eastAsia="宋体" w:cs="宋体"/>
                      <w:i w:val="0"/>
                      <w:iCs w:val="0"/>
                      <w:color w:val="000000"/>
                      <w:sz w:val="20"/>
                      <w:szCs w:val="20"/>
                      <w:highlight w:val="none"/>
                      <w:u w:val="none"/>
                    </w:rPr>
                  </w:pPr>
                  <w:r>
                    <w:rPr>
                      <w:rFonts w:hint="eastAsia" w:ascii="宋体" w:hAnsi="宋体" w:eastAsia="宋体" w:cs="宋体"/>
                      <w:i w:val="0"/>
                      <w:iCs w:val="0"/>
                      <w:color w:val="000000"/>
                      <w:kern w:val="0"/>
                      <w:sz w:val="20"/>
                      <w:szCs w:val="20"/>
                      <w:highlight w:val="none"/>
                      <w:u w:val="none"/>
                      <w:lang w:val="en-US" w:eastAsia="zh-CN" w:bidi="ar"/>
                    </w:rPr>
                    <w:t>常规定期检测</w:t>
                  </w:r>
                </w:p>
              </w:tc>
              <w:tc>
                <w:tcPr>
                  <w:tcW w:w="348" w:type="pct"/>
                  <w:tcBorders>
                    <w:top w:val="single" w:color="000000" w:sz="4" w:space="0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shd w:val="clear" w:color="auto" w:fill="auto"/>
                  <w:vAlign w:val="center"/>
                </w:tcPr>
                <w:p w14:paraId="6415D0CE">
                  <w:pPr>
                    <w:keepNext w:val="0"/>
                    <w:keepLines w:val="0"/>
                    <w:widowControl/>
                    <w:suppressLineNumbers w:val="0"/>
                    <w:jc w:val="center"/>
                    <w:textAlignment w:val="center"/>
                    <w:rPr>
                      <w:rFonts w:hint="eastAsia" w:ascii="宋体" w:hAnsi="宋体" w:eastAsia="宋体" w:cs="宋体"/>
                      <w:i w:val="0"/>
                      <w:iCs w:val="0"/>
                      <w:color w:val="000000"/>
                      <w:sz w:val="20"/>
                      <w:szCs w:val="20"/>
                      <w:highlight w:val="none"/>
                      <w:u w:val="none"/>
                    </w:rPr>
                  </w:pPr>
                  <w:r>
                    <w:rPr>
                      <w:rFonts w:hint="eastAsia" w:ascii="宋体" w:hAnsi="宋体" w:eastAsia="宋体" w:cs="宋体"/>
                      <w:i w:val="0"/>
                      <w:iCs w:val="0"/>
                      <w:color w:val="000000"/>
                      <w:kern w:val="0"/>
                      <w:sz w:val="20"/>
                      <w:szCs w:val="20"/>
                      <w:highlight w:val="none"/>
                      <w:u w:val="none"/>
                      <w:lang w:val="en-US" w:eastAsia="zh-CN" w:bidi="ar"/>
                    </w:rPr>
                    <w:t>II类Ⅰ等</w:t>
                  </w:r>
                </w:p>
              </w:tc>
              <w:tc>
                <w:tcPr>
                  <w:tcW w:w="296" w:type="pct"/>
                  <w:tcBorders>
                    <w:top w:val="single" w:color="000000" w:sz="4" w:space="0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shd w:val="clear" w:color="auto" w:fill="auto"/>
                  <w:vAlign w:val="center"/>
                </w:tcPr>
                <w:p w14:paraId="1F438396">
                  <w:pPr>
                    <w:keepNext w:val="0"/>
                    <w:keepLines w:val="0"/>
                    <w:widowControl/>
                    <w:suppressLineNumbers w:val="0"/>
                    <w:jc w:val="center"/>
                    <w:textAlignment w:val="center"/>
                    <w:rPr>
                      <w:rFonts w:hint="eastAsia" w:ascii="宋体" w:hAnsi="宋体" w:eastAsia="宋体" w:cs="宋体"/>
                      <w:i w:val="0"/>
                      <w:iCs w:val="0"/>
                      <w:color w:val="000000"/>
                      <w:sz w:val="20"/>
                      <w:szCs w:val="20"/>
                      <w:highlight w:val="none"/>
                      <w:u w:val="none"/>
                    </w:rPr>
                  </w:pPr>
                  <w:r>
                    <w:rPr>
                      <w:rFonts w:hint="eastAsia" w:ascii="宋体" w:hAnsi="宋体" w:eastAsia="宋体" w:cs="宋体"/>
                      <w:i w:val="0"/>
                      <w:iCs w:val="0"/>
                      <w:color w:val="000000"/>
                      <w:kern w:val="0"/>
                      <w:sz w:val="20"/>
                      <w:szCs w:val="20"/>
                      <w:highlight w:val="none"/>
                      <w:u w:val="none"/>
                      <w:lang w:val="en-US" w:eastAsia="zh-CN" w:bidi="ar"/>
                    </w:rPr>
                    <w:t>主桥1902</w:t>
                  </w:r>
                  <w:r>
                    <w:rPr>
                      <w:rFonts w:hint="eastAsia" w:ascii="宋体" w:hAnsi="宋体" w:eastAsia="宋体" w:cs="宋体"/>
                      <w:i w:val="0"/>
                      <w:iCs w:val="0"/>
                      <w:color w:val="000000"/>
                      <w:kern w:val="0"/>
                      <w:sz w:val="20"/>
                      <w:szCs w:val="20"/>
                      <w:highlight w:val="none"/>
                      <w:u w:val="none"/>
                      <w:lang w:val="en-US" w:eastAsia="zh-CN" w:bidi="ar"/>
                    </w:rPr>
                    <w:br w:type="textWrapping"/>
                  </w:r>
                  <w:r>
                    <w:rPr>
                      <w:rFonts w:hint="eastAsia" w:ascii="宋体" w:hAnsi="宋体" w:eastAsia="宋体" w:cs="宋体"/>
                      <w:i w:val="0"/>
                      <w:iCs w:val="0"/>
                      <w:color w:val="000000"/>
                      <w:kern w:val="0"/>
                      <w:sz w:val="20"/>
                      <w:szCs w:val="20"/>
                      <w:highlight w:val="none"/>
                      <w:u w:val="none"/>
                      <w:lang w:val="en-US" w:eastAsia="zh-CN" w:bidi="ar"/>
                    </w:rPr>
                    <w:t>A匝道203.04</w:t>
                  </w:r>
                  <w:r>
                    <w:rPr>
                      <w:rFonts w:hint="eastAsia" w:ascii="宋体" w:hAnsi="宋体" w:eastAsia="宋体" w:cs="宋体"/>
                      <w:i w:val="0"/>
                      <w:iCs w:val="0"/>
                      <w:color w:val="000000"/>
                      <w:kern w:val="0"/>
                      <w:sz w:val="20"/>
                      <w:szCs w:val="20"/>
                      <w:highlight w:val="none"/>
                      <w:u w:val="none"/>
                      <w:lang w:val="en-US" w:eastAsia="zh-CN" w:bidi="ar"/>
                    </w:rPr>
                    <w:br w:type="textWrapping"/>
                  </w:r>
                  <w:r>
                    <w:rPr>
                      <w:rFonts w:hint="eastAsia" w:ascii="宋体" w:hAnsi="宋体" w:eastAsia="宋体" w:cs="宋体"/>
                      <w:i w:val="0"/>
                      <w:iCs w:val="0"/>
                      <w:color w:val="000000"/>
                      <w:kern w:val="0"/>
                      <w:sz w:val="20"/>
                      <w:szCs w:val="20"/>
                      <w:highlight w:val="none"/>
                      <w:u w:val="none"/>
                      <w:lang w:val="en-US" w:eastAsia="zh-CN" w:bidi="ar"/>
                    </w:rPr>
                    <w:t>B匝道349.84</w:t>
                  </w:r>
                </w:p>
              </w:tc>
              <w:tc>
                <w:tcPr>
                  <w:tcW w:w="340" w:type="pct"/>
                  <w:tcBorders>
                    <w:top w:val="single" w:color="000000" w:sz="4" w:space="0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shd w:val="clear" w:color="auto" w:fill="FFFFFF"/>
                  <w:vAlign w:val="center"/>
                </w:tcPr>
                <w:p w14:paraId="09845B7D">
                  <w:pPr>
                    <w:keepNext w:val="0"/>
                    <w:keepLines w:val="0"/>
                    <w:widowControl/>
                    <w:suppressLineNumbers w:val="0"/>
                    <w:jc w:val="center"/>
                    <w:textAlignment w:val="center"/>
                    <w:rPr>
                      <w:rFonts w:hint="eastAsia" w:ascii="宋体" w:hAnsi="宋体" w:eastAsia="宋体" w:cs="宋体"/>
                      <w:i w:val="0"/>
                      <w:iCs w:val="0"/>
                      <w:color w:val="000000"/>
                      <w:sz w:val="20"/>
                      <w:szCs w:val="20"/>
                      <w:highlight w:val="none"/>
                      <w:u w:val="none"/>
                    </w:rPr>
                  </w:pPr>
                  <w:r>
                    <w:rPr>
                      <w:rFonts w:hint="eastAsia" w:ascii="宋体" w:hAnsi="宋体" w:eastAsia="宋体" w:cs="宋体"/>
                      <w:i w:val="0"/>
                      <w:iCs w:val="0"/>
                      <w:color w:val="000000"/>
                      <w:kern w:val="0"/>
                      <w:sz w:val="20"/>
                      <w:szCs w:val="20"/>
                      <w:highlight w:val="none"/>
                      <w:u w:val="none"/>
                      <w:lang w:val="en-US" w:eastAsia="zh-CN" w:bidi="ar"/>
                    </w:rPr>
                    <w:t>26696</w:t>
                  </w:r>
                </w:p>
              </w:tc>
              <w:tc>
                <w:tcPr>
                  <w:tcW w:w="1012" w:type="pct"/>
                  <w:vMerge w:val="restart"/>
                  <w:tcBorders>
                    <w:top w:val="single" w:color="000000" w:sz="4" w:space="0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shd w:val="clear" w:color="auto" w:fill="auto"/>
                  <w:vAlign w:val="center"/>
                </w:tcPr>
                <w:p w14:paraId="49196ABB">
                  <w:pPr>
                    <w:keepNext w:val="0"/>
                    <w:keepLines w:val="0"/>
                    <w:widowControl/>
                    <w:suppressLineNumbers w:val="0"/>
                    <w:jc w:val="left"/>
                    <w:textAlignment w:val="center"/>
                    <w:rPr>
                      <w:rFonts w:hint="eastAsia" w:ascii="宋体" w:hAnsi="宋体" w:eastAsia="宋体" w:cs="宋体"/>
                      <w:b/>
                      <w:bCs/>
                      <w:i w:val="0"/>
                      <w:iCs w:val="0"/>
                      <w:color w:val="000000"/>
                      <w:sz w:val="20"/>
                      <w:szCs w:val="20"/>
                      <w:highlight w:val="none"/>
                      <w:u w:val="none"/>
                    </w:rPr>
                  </w:pPr>
                  <w:r>
                    <w:rPr>
                      <w:rStyle w:val="5"/>
                      <w:highlight w:val="none"/>
                      <w:lang w:val="en-US" w:eastAsia="zh-CN" w:bidi="ar"/>
                    </w:rPr>
                    <w:t>1.检测依据：</w:t>
                  </w:r>
                  <w:r>
                    <w:rPr>
                      <w:rStyle w:val="6"/>
                      <w:highlight w:val="none"/>
                      <w:lang w:val="en-US" w:eastAsia="zh-CN" w:bidi="ar"/>
                    </w:rPr>
                    <w:t>依据《城市桥梁养护技术标准》CJJ99-2017中4.3.1条规定，快速干道桥梁均属城市II类Ⅰ等养护桥梁，规范规定Ⅱ类养护桥梁应每年进行1次桥梁常规定期检测。</w:t>
                  </w:r>
                  <w:r>
                    <w:rPr>
                      <w:rStyle w:val="6"/>
                      <w:highlight w:val="none"/>
                      <w:lang w:val="en-US" w:eastAsia="zh-CN" w:bidi="ar"/>
                    </w:rPr>
                    <w:br w:type="textWrapping"/>
                  </w:r>
                  <w:r>
                    <w:rPr>
                      <w:rStyle w:val="5"/>
                      <w:highlight w:val="none"/>
                      <w:lang w:val="en-US" w:eastAsia="zh-CN" w:bidi="ar"/>
                    </w:rPr>
                    <w:t>2.检测主要内容：</w:t>
                  </w:r>
                  <w:r>
                    <w:rPr>
                      <w:rStyle w:val="6"/>
                      <w:highlight w:val="none"/>
                      <w:lang w:val="en-US" w:eastAsia="zh-CN" w:bidi="ar"/>
                    </w:rPr>
                    <w:t>1.桥面系包括桥面铺装、伸缩装置、排水装置、护栏等；2.桥梁上部结构包括主梁、主桁架、主拱圈、横梁、连接件等；3.下部结构包括支座、墩身、台帽、台身、基础、挡土墙等；4.量体线形、墩柱沉降、结构构件检测；5.其他影响桥梁安全的检测及分析；6.桥梁技术状态评估分级并提出对应的结论及养护措施；</w:t>
                  </w:r>
                  <w:r>
                    <w:rPr>
                      <w:rStyle w:val="6"/>
                      <w:highlight w:val="none"/>
                      <w:lang w:val="en-US" w:eastAsia="zh-CN" w:bidi="ar"/>
                    </w:rPr>
                    <w:br w:type="textWrapping"/>
                  </w:r>
                  <w:r>
                    <w:rPr>
                      <w:rStyle w:val="5"/>
                      <w:highlight w:val="none"/>
                      <w:lang w:val="en-US" w:eastAsia="zh-CN" w:bidi="ar"/>
                    </w:rPr>
                    <w:t>3.检测成果：</w:t>
                  </w:r>
                  <w:r>
                    <w:rPr>
                      <w:rStyle w:val="6"/>
                      <w:highlight w:val="none"/>
                      <w:lang w:val="en-US" w:eastAsia="zh-CN" w:bidi="ar"/>
                    </w:rPr>
                    <w:t>将依据《城市桥梁养护技术标准》（CJJ99-2017）中对桥梁检测内容的要求和约束，进行全面的实地检查、数据采集、整理分析、技术评定并提出针对性维护意见，出具具有法律效力的检测报告文件</w:t>
                  </w:r>
                </w:p>
              </w:tc>
              <w:tc>
                <w:tcPr>
                  <w:tcW w:w="590" w:type="pct"/>
                  <w:tcBorders>
                    <w:top w:val="single" w:color="000000" w:sz="4" w:space="0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shd w:val="clear" w:color="auto" w:fill="auto"/>
                  <w:vAlign w:val="center"/>
                </w:tcPr>
                <w:p w14:paraId="28AF81AA">
                  <w:pPr>
                    <w:keepNext w:val="0"/>
                    <w:keepLines w:val="0"/>
                    <w:widowControl/>
                    <w:suppressLineNumbers w:val="0"/>
                    <w:jc w:val="left"/>
                    <w:textAlignment w:val="center"/>
                    <w:rPr>
                      <w:rFonts w:hint="eastAsia" w:ascii="宋体" w:hAnsi="宋体" w:eastAsia="宋体" w:cs="宋体"/>
                      <w:i w:val="0"/>
                      <w:iCs w:val="0"/>
                      <w:color w:val="000000"/>
                      <w:sz w:val="20"/>
                      <w:szCs w:val="20"/>
                      <w:highlight w:val="none"/>
                      <w:u w:val="none"/>
                    </w:rPr>
                  </w:pPr>
                  <w:r>
                    <w:rPr>
                      <w:rStyle w:val="7"/>
                      <w:highlight w:val="none"/>
                      <w:lang w:val="en-US" w:eastAsia="zh-CN" w:bidi="ar"/>
                    </w:rPr>
                    <w:t>分离式桥梁，单幅三车道</w:t>
                  </w:r>
                  <w:r>
                    <w:rPr>
                      <w:rStyle w:val="8"/>
                      <w:rFonts w:eastAsia="宋体"/>
                      <w:highlight w:val="none"/>
                      <w:lang w:val="en-US" w:eastAsia="zh-CN" w:bidi="ar"/>
                    </w:rPr>
                    <w:t>951</w:t>
                  </w:r>
                  <w:r>
                    <w:rPr>
                      <w:rStyle w:val="7"/>
                      <w:highlight w:val="none"/>
                      <w:lang w:val="en-US" w:eastAsia="zh-CN" w:bidi="ar"/>
                    </w:rPr>
                    <w:t>米，需高空作业</w:t>
                  </w:r>
                </w:p>
              </w:tc>
            </w:tr>
            <w:tr w14:paraId="3D1A888C">
              <w:tblPrEx>
                <w:tblBorders>
                  <w:top w:val="none" w:color="auto" w:sz="0" w:space="0"/>
                  <w:left w:val="none" w:color="auto" w:sz="0" w:space="0"/>
                  <w:bottom w:val="none" w:color="auto" w:sz="0" w:space="0"/>
                  <w:right w:val="none" w:color="auto" w:sz="0" w:space="0"/>
                  <w:insideH w:val="none" w:color="auto" w:sz="0" w:space="0"/>
                  <w:insideV w:val="none" w:color="auto" w:sz="0" w:space="0"/>
                </w:tblBorders>
                <w:shd w:val="clear" w:color="auto" w:fill="auto"/>
                <w:tblCellMar>
                  <w:top w:w="0" w:type="dxa"/>
                  <w:left w:w="108" w:type="dxa"/>
                  <w:bottom w:w="0" w:type="dxa"/>
                  <w:right w:w="108" w:type="dxa"/>
                </w:tblCellMar>
              </w:tblPrEx>
              <w:trPr>
                <w:trHeight w:val="900" w:hRule="atLeast"/>
              </w:trPr>
              <w:tc>
                <w:tcPr>
                  <w:tcW w:w="240" w:type="pct"/>
                  <w:tcBorders>
                    <w:top w:val="single" w:color="000000" w:sz="4" w:space="0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shd w:val="clear" w:color="auto" w:fill="auto"/>
                  <w:noWrap/>
                  <w:vAlign w:val="center"/>
                </w:tcPr>
                <w:p w14:paraId="654980C3">
                  <w:pPr>
                    <w:keepNext w:val="0"/>
                    <w:keepLines w:val="0"/>
                    <w:widowControl/>
                    <w:suppressLineNumbers w:val="0"/>
                    <w:jc w:val="center"/>
                    <w:textAlignment w:val="center"/>
                    <w:rPr>
                      <w:rFonts w:hint="eastAsia" w:ascii="宋体" w:hAnsi="宋体" w:eastAsia="宋体" w:cs="宋体"/>
                      <w:i w:val="0"/>
                      <w:iCs w:val="0"/>
                      <w:color w:val="000000"/>
                      <w:sz w:val="20"/>
                      <w:szCs w:val="20"/>
                      <w:highlight w:val="none"/>
                      <w:u w:val="none"/>
                    </w:rPr>
                  </w:pPr>
                  <w:r>
                    <w:rPr>
                      <w:rFonts w:hint="eastAsia" w:ascii="宋体" w:hAnsi="宋体" w:eastAsia="宋体" w:cs="宋体"/>
                      <w:i w:val="0"/>
                      <w:iCs w:val="0"/>
                      <w:color w:val="000000"/>
                      <w:kern w:val="0"/>
                      <w:sz w:val="20"/>
                      <w:szCs w:val="20"/>
                      <w:highlight w:val="none"/>
                      <w:u w:val="none"/>
                      <w:lang w:val="en-US" w:eastAsia="zh-CN" w:bidi="ar"/>
                    </w:rPr>
                    <w:t>2</w:t>
                  </w:r>
                </w:p>
              </w:tc>
              <w:tc>
                <w:tcPr>
                  <w:tcW w:w="521" w:type="pct"/>
                  <w:tcBorders>
                    <w:top w:val="single" w:color="000000" w:sz="4" w:space="0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shd w:val="clear" w:color="auto" w:fill="auto"/>
                  <w:noWrap/>
                  <w:vAlign w:val="center"/>
                </w:tcPr>
                <w:p w14:paraId="43CEE999">
                  <w:pPr>
                    <w:keepNext w:val="0"/>
                    <w:keepLines w:val="0"/>
                    <w:widowControl/>
                    <w:suppressLineNumbers w:val="0"/>
                    <w:jc w:val="center"/>
                    <w:textAlignment w:val="center"/>
                    <w:rPr>
                      <w:rFonts w:hint="eastAsia" w:ascii="宋体" w:hAnsi="宋体" w:eastAsia="宋体" w:cs="宋体"/>
                      <w:i w:val="0"/>
                      <w:iCs w:val="0"/>
                      <w:color w:val="000000"/>
                      <w:sz w:val="20"/>
                      <w:szCs w:val="20"/>
                      <w:highlight w:val="none"/>
                      <w:u w:val="none"/>
                    </w:rPr>
                  </w:pPr>
                  <w:r>
                    <w:rPr>
                      <w:rFonts w:hint="eastAsia" w:ascii="宋体" w:hAnsi="宋体" w:eastAsia="宋体" w:cs="宋体"/>
                      <w:i w:val="0"/>
                      <w:iCs w:val="0"/>
                      <w:color w:val="000000"/>
                      <w:kern w:val="0"/>
                      <w:sz w:val="20"/>
                      <w:szCs w:val="20"/>
                      <w:highlight w:val="none"/>
                      <w:u w:val="none"/>
                      <w:lang w:val="en-US" w:eastAsia="zh-CN" w:bidi="ar"/>
                    </w:rPr>
                    <w:t>三桥镇高架桥</w:t>
                  </w:r>
                </w:p>
              </w:tc>
              <w:tc>
                <w:tcPr>
                  <w:tcW w:w="1253" w:type="pct"/>
                  <w:tcBorders>
                    <w:top w:val="single" w:color="000000" w:sz="4" w:space="0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shd w:val="clear" w:color="auto" w:fill="auto"/>
                  <w:vAlign w:val="center"/>
                </w:tcPr>
                <w:p w14:paraId="7A56656B">
                  <w:pPr>
                    <w:keepNext w:val="0"/>
                    <w:keepLines w:val="0"/>
                    <w:widowControl/>
                    <w:suppressLineNumbers w:val="0"/>
                    <w:jc w:val="left"/>
                    <w:textAlignment w:val="center"/>
                    <w:rPr>
                      <w:rFonts w:hint="eastAsia" w:ascii="宋体" w:hAnsi="宋体" w:eastAsia="宋体" w:cs="宋体"/>
                      <w:i w:val="0"/>
                      <w:iCs w:val="0"/>
                      <w:color w:val="000000"/>
                      <w:sz w:val="20"/>
                      <w:szCs w:val="20"/>
                      <w:highlight w:val="none"/>
                      <w:u w:val="none"/>
                    </w:rPr>
                  </w:pPr>
                  <w:r>
                    <w:rPr>
                      <w:rFonts w:hint="eastAsia" w:ascii="宋体" w:hAnsi="宋体" w:eastAsia="宋体" w:cs="宋体"/>
                      <w:i w:val="0"/>
                      <w:iCs w:val="0"/>
                      <w:color w:val="000000"/>
                      <w:kern w:val="0"/>
                      <w:sz w:val="20"/>
                      <w:szCs w:val="20"/>
                      <w:highlight w:val="none"/>
                      <w:u w:val="none"/>
                      <w:lang w:val="en-US" w:eastAsia="zh-CN" w:bidi="ar"/>
                    </w:rPr>
                    <w:t>分离式桥梁，单幅三车道</w:t>
                  </w:r>
                  <w:r>
                    <w:rPr>
                      <w:rFonts w:hint="eastAsia" w:ascii="宋体" w:hAnsi="宋体" w:eastAsia="宋体" w:cs="宋体"/>
                      <w:i w:val="0"/>
                      <w:iCs w:val="0"/>
                      <w:color w:val="000000"/>
                      <w:kern w:val="0"/>
                      <w:sz w:val="20"/>
                      <w:szCs w:val="20"/>
                      <w:highlight w:val="none"/>
                      <w:u w:val="none"/>
                      <w:lang w:val="en-US" w:eastAsia="zh-CN" w:bidi="ar"/>
                    </w:rPr>
                    <w:br w:type="textWrapping"/>
                  </w:r>
                  <w:r>
                    <w:rPr>
                      <w:rFonts w:hint="eastAsia" w:ascii="宋体" w:hAnsi="宋体" w:eastAsia="宋体" w:cs="宋体"/>
                      <w:i w:val="0"/>
                      <w:iCs w:val="0"/>
                      <w:color w:val="000000"/>
                      <w:kern w:val="0"/>
                      <w:sz w:val="20"/>
                      <w:szCs w:val="20"/>
                      <w:highlight w:val="none"/>
                      <w:u w:val="none"/>
                      <w:lang w:val="en-US" w:eastAsia="zh-CN" w:bidi="ar"/>
                    </w:rPr>
                    <w:t>1-11跨装配式空心板梁</w:t>
                  </w:r>
                  <w:r>
                    <w:rPr>
                      <w:rFonts w:hint="eastAsia" w:ascii="宋体" w:hAnsi="宋体" w:eastAsia="宋体" w:cs="宋体"/>
                      <w:i w:val="0"/>
                      <w:iCs w:val="0"/>
                      <w:color w:val="000000"/>
                      <w:kern w:val="0"/>
                      <w:sz w:val="20"/>
                      <w:szCs w:val="20"/>
                      <w:highlight w:val="none"/>
                      <w:u w:val="none"/>
                      <w:lang w:val="en-US" w:eastAsia="zh-CN" w:bidi="ar"/>
                    </w:rPr>
                    <w:br w:type="textWrapping"/>
                  </w:r>
                  <w:r>
                    <w:rPr>
                      <w:rFonts w:hint="eastAsia" w:ascii="宋体" w:hAnsi="宋体" w:eastAsia="宋体" w:cs="宋体"/>
                      <w:i w:val="0"/>
                      <w:iCs w:val="0"/>
                      <w:color w:val="000000"/>
                      <w:kern w:val="0"/>
                      <w:sz w:val="20"/>
                      <w:szCs w:val="20"/>
                      <w:highlight w:val="none"/>
                      <w:u w:val="none"/>
                      <w:lang w:val="en-US" w:eastAsia="zh-CN" w:bidi="ar"/>
                    </w:rPr>
                    <w:t>12-64跨现浇箱梁</w:t>
                  </w:r>
                </w:p>
              </w:tc>
              <w:tc>
                <w:tcPr>
                  <w:tcW w:w="396" w:type="pct"/>
                  <w:tcBorders>
                    <w:top w:val="single" w:color="000000" w:sz="4" w:space="0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shd w:val="clear" w:color="auto" w:fill="auto"/>
                  <w:vAlign w:val="center"/>
                </w:tcPr>
                <w:p w14:paraId="4D467619">
                  <w:pPr>
                    <w:keepNext w:val="0"/>
                    <w:keepLines w:val="0"/>
                    <w:widowControl/>
                    <w:suppressLineNumbers w:val="0"/>
                    <w:jc w:val="center"/>
                    <w:textAlignment w:val="center"/>
                    <w:rPr>
                      <w:rFonts w:hint="eastAsia" w:ascii="宋体" w:hAnsi="宋体" w:eastAsia="宋体" w:cs="宋体"/>
                      <w:i w:val="0"/>
                      <w:iCs w:val="0"/>
                      <w:color w:val="000000"/>
                      <w:sz w:val="20"/>
                      <w:szCs w:val="20"/>
                      <w:highlight w:val="none"/>
                      <w:u w:val="none"/>
                    </w:rPr>
                  </w:pPr>
                  <w:r>
                    <w:rPr>
                      <w:rFonts w:hint="eastAsia" w:ascii="宋体" w:hAnsi="宋体" w:eastAsia="宋体" w:cs="宋体"/>
                      <w:i w:val="0"/>
                      <w:iCs w:val="0"/>
                      <w:color w:val="000000"/>
                      <w:kern w:val="0"/>
                      <w:sz w:val="20"/>
                      <w:szCs w:val="20"/>
                      <w:highlight w:val="none"/>
                      <w:u w:val="none"/>
                      <w:lang w:val="en-US" w:eastAsia="zh-CN" w:bidi="ar"/>
                    </w:rPr>
                    <w:t>常规定期检测</w:t>
                  </w:r>
                </w:p>
              </w:tc>
              <w:tc>
                <w:tcPr>
                  <w:tcW w:w="348" w:type="pct"/>
                  <w:tcBorders>
                    <w:top w:val="single" w:color="000000" w:sz="4" w:space="0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shd w:val="clear" w:color="auto" w:fill="auto"/>
                  <w:vAlign w:val="center"/>
                </w:tcPr>
                <w:p w14:paraId="37BBAE74">
                  <w:pPr>
                    <w:keepNext w:val="0"/>
                    <w:keepLines w:val="0"/>
                    <w:widowControl/>
                    <w:suppressLineNumbers w:val="0"/>
                    <w:jc w:val="center"/>
                    <w:textAlignment w:val="center"/>
                    <w:rPr>
                      <w:rFonts w:hint="eastAsia" w:ascii="宋体" w:hAnsi="宋体" w:eastAsia="宋体" w:cs="宋体"/>
                      <w:i w:val="0"/>
                      <w:iCs w:val="0"/>
                      <w:color w:val="000000"/>
                      <w:sz w:val="20"/>
                      <w:szCs w:val="20"/>
                      <w:highlight w:val="none"/>
                      <w:u w:val="none"/>
                    </w:rPr>
                  </w:pPr>
                  <w:r>
                    <w:rPr>
                      <w:rFonts w:hint="eastAsia" w:ascii="宋体" w:hAnsi="宋体" w:eastAsia="宋体" w:cs="宋体"/>
                      <w:i w:val="0"/>
                      <w:iCs w:val="0"/>
                      <w:color w:val="000000"/>
                      <w:kern w:val="0"/>
                      <w:sz w:val="20"/>
                      <w:szCs w:val="20"/>
                      <w:highlight w:val="none"/>
                      <w:u w:val="none"/>
                      <w:lang w:val="en-US" w:eastAsia="zh-CN" w:bidi="ar"/>
                    </w:rPr>
                    <w:t>II类Ⅰ等</w:t>
                  </w:r>
                </w:p>
              </w:tc>
              <w:tc>
                <w:tcPr>
                  <w:tcW w:w="296" w:type="pct"/>
                  <w:tcBorders>
                    <w:top w:val="single" w:color="000000" w:sz="4" w:space="0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shd w:val="clear" w:color="auto" w:fill="auto"/>
                  <w:noWrap/>
                  <w:vAlign w:val="center"/>
                </w:tcPr>
                <w:p w14:paraId="37C9A804">
                  <w:pPr>
                    <w:keepNext w:val="0"/>
                    <w:keepLines w:val="0"/>
                    <w:widowControl/>
                    <w:suppressLineNumbers w:val="0"/>
                    <w:jc w:val="center"/>
                    <w:textAlignment w:val="center"/>
                    <w:rPr>
                      <w:rFonts w:hint="eastAsia" w:ascii="宋体" w:hAnsi="宋体" w:eastAsia="宋体" w:cs="宋体"/>
                      <w:i w:val="0"/>
                      <w:iCs w:val="0"/>
                      <w:color w:val="000000"/>
                      <w:sz w:val="20"/>
                      <w:szCs w:val="20"/>
                      <w:highlight w:val="none"/>
                      <w:u w:val="none"/>
                    </w:rPr>
                  </w:pPr>
                  <w:r>
                    <w:rPr>
                      <w:rFonts w:hint="eastAsia" w:ascii="宋体" w:hAnsi="宋体" w:eastAsia="宋体" w:cs="宋体"/>
                      <w:i w:val="0"/>
                      <w:iCs w:val="0"/>
                      <w:color w:val="000000"/>
                      <w:kern w:val="0"/>
                      <w:sz w:val="20"/>
                      <w:szCs w:val="20"/>
                      <w:highlight w:val="none"/>
                      <w:u w:val="none"/>
                      <w:lang w:val="en-US" w:eastAsia="zh-CN" w:bidi="ar"/>
                    </w:rPr>
                    <w:t>2612</w:t>
                  </w:r>
                </w:p>
              </w:tc>
              <w:tc>
                <w:tcPr>
                  <w:tcW w:w="340" w:type="pct"/>
                  <w:tcBorders>
                    <w:top w:val="single" w:color="000000" w:sz="4" w:space="0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shd w:val="clear" w:color="auto" w:fill="FFFFFF"/>
                  <w:vAlign w:val="center"/>
                </w:tcPr>
                <w:p w14:paraId="6BEE1215">
                  <w:pPr>
                    <w:keepNext w:val="0"/>
                    <w:keepLines w:val="0"/>
                    <w:widowControl/>
                    <w:suppressLineNumbers w:val="0"/>
                    <w:jc w:val="center"/>
                    <w:textAlignment w:val="center"/>
                    <w:rPr>
                      <w:rFonts w:hint="eastAsia" w:ascii="宋体" w:hAnsi="宋体" w:eastAsia="宋体" w:cs="宋体"/>
                      <w:i w:val="0"/>
                      <w:iCs w:val="0"/>
                      <w:color w:val="000000"/>
                      <w:sz w:val="20"/>
                      <w:szCs w:val="20"/>
                      <w:highlight w:val="none"/>
                      <w:u w:val="none"/>
                    </w:rPr>
                  </w:pPr>
                  <w:r>
                    <w:rPr>
                      <w:rFonts w:hint="eastAsia" w:ascii="宋体" w:hAnsi="宋体" w:eastAsia="宋体" w:cs="宋体"/>
                      <w:i w:val="0"/>
                      <w:iCs w:val="0"/>
                      <w:color w:val="000000"/>
                      <w:kern w:val="0"/>
                      <w:sz w:val="20"/>
                      <w:szCs w:val="20"/>
                      <w:highlight w:val="none"/>
                      <w:u w:val="none"/>
                      <w:lang w:val="en-US" w:eastAsia="zh-CN" w:bidi="ar"/>
                    </w:rPr>
                    <w:t>33954.7</w:t>
                  </w:r>
                </w:p>
              </w:tc>
              <w:tc>
                <w:tcPr>
                  <w:tcW w:w="1012" w:type="pct"/>
                  <w:vMerge w:val="continue"/>
                  <w:tcBorders>
                    <w:top w:val="single" w:color="000000" w:sz="4" w:space="0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shd w:val="clear" w:color="auto" w:fill="auto"/>
                  <w:vAlign w:val="center"/>
                </w:tcPr>
                <w:p w14:paraId="4156919B">
                  <w:pPr>
                    <w:jc w:val="left"/>
                    <w:rPr>
                      <w:rFonts w:hint="eastAsia" w:ascii="宋体" w:hAnsi="宋体" w:eastAsia="宋体" w:cs="宋体"/>
                      <w:b/>
                      <w:bCs/>
                      <w:i w:val="0"/>
                      <w:iCs w:val="0"/>
                      <w:color w:val="000000"/>
                      <w:sz w:val="20"/>
                      <w:szCs w:val="20"/>
                      <w:highlight w:val="none"/>
                      <w:u w:val="none"/>
                    </w:rPr>
                  </w:pPr>
                </w:p>
              </w:tc>
              <w:tc>
                <w:tcPr>
                  <w:tcW w:w="590" w:type="pct"/>
                  <w:tcBorders>
                    <w:top w:val="single" w:color="000000" w:sz="4" w:space="0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shd w:val="clear" w:color="auto" w:fill="auto"/>
                  <w:vAlign w:val="center"/>
                </w:tcPr>
                <w:p w14:paraId="70E5774B">
                  <w:pPr>
                    <w:keepNext w:val="0"/>
                    <w:keepLines w:val="0"/>
                    <w:widowControl/>
                    <w:suppressLineNumbers w:val="0"/>
                    <w:jc w:val="left"/>
                    <w:textAlignment w:val="center"/>
                    <w:rPr>
                      <w:rFonts w:hint="eastAsia" w:ascii="宋体" w:hAnsi="宋体" w:eastAsia="宋体" w:cs="宋体"/>
                      <w:i w:val="0"/>
                      <w:iCs w:val="0"/>
                      <w:color w:val="000000"/>
                      <w:sz w:val="20"/>
                      <w:szCs w:val="20"/>
                      <w:highlight w:val="none"/>
                      <w:u w:val="none"/>
                    </w:rPr>
                  </w:pPr>
                  <w:r>
                    <w:rPr>
                      <w:rStyle w:val="7"/>
                      <w:highlight w:val="none"/>
                      <w:lang w:val="en-US" w:eastAsia="zh-CN" w:bidi="ar"/>
                    </w:rPr>
                    <w:t>分离式桥梁，单幅三车道</w:t>
                  </w:r>
                  <w:r>
                    <w:rPr>
                      <w:rStyle w:val="8"/>
                      <w:rFonts w:eastAsia="宋体"/>
                      <w:highlight w:val="none"/>
                      <w:lang w:val="en-US" w:eastAsia="zh-CN" w:bidi="ar"/>
                    </w:rPr>
                    <w:t>1306</w:t>
                  </w:r>
                  <w:r>
                    <w:rPr>
                      <w:rStyle w:val="7"/>
                      <w:highlight w:val="none"/>
                      <w:lang w:val="en-US" w:eastAsia="zh-CN" w:bidi="ar"/>
                    </w:rPr>
                    <w:t>米，需高空作业</w:t>
                  </w:r>
                </w:p>
              </w:tc>
            </w:tr>
            <w:tr w14:paraId="4CF4E0A3">
              <w:tblPrEx>
                <w:tblBorders>
                  <w:top w:val="none" w:color="auto" w:sz="0" w:space="0"/>
                  <w:left w:val="none" w:color="auto" w:sz="0" w:space="0"/>
                  <w:bottom w:val="none" w:color="auto" w:sz="0" w:space="0"/>
                  <w:right w:val="none" w:color="auto" w:sz="0" w:space="0"/>
                  <w:insideH w:val="none" w:color="auto" w:sz="0" w:space="0"/>
                  <w:insideV w:val="none" w:color="auto" w:sz="0" w:space="0"/>
                </w:tblBorders>
                <w:shd w:val="clear" w:color="auto" w:fill="auto"/>
                <w:tblCellMar>
                  <w:top w:w="0" w:type="dxa"/>
                  <w:left w:w="108" w:type="dxa"/>
                  <w:bottom w:w="0" w:type="dxa"/>
                  <w:right w:w="108" w:type="dxa"/>
                </w:tblCellMar>
              </w:tblPrEx>
              <w:trPr>
                <w:trHeight w:val="900" w:hRule="atLeast"/>
              </w:trPr>
              <w:tc>
                <w:tcPr>
                  <w:tcW w:w="240" w:type="pct"/>
                  <w:tcBorders>
                    <w:top w:val="single" w:color="000000" w:sz="4" w:space="0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shd w:val="clear" w:color="auto" w:fill="FFFFFF"/>
                  <w:noWrap/>
                  <w:vAlign w:val="center"/>
                </w:tcPr>
                <w:p w14:paraId="63BBD8A1">
                  <w:pPr>
                    <w:keepNext w:val="0"/>
                    <w:keepLines w:val="0"/>
                    <w:widowControl/>
                    <w:suppressLineNumbers w:val="0"/>
                    <w:jc w:val="center"/>
                    <w:textAlignment w:val="center"/>
                    <w:rPr>
                      <w:rFonts w:hint="eastAsia" w:ascii="宋体" w:hAnsi="宋体" w:eastAsia="宋体" w:cs="宋体"/>
                      <w:i w:val="0"/>
                      <w:iCs w:val="0"/>
                      <w:color w:val="000000"/>
                      <w:sz w:val="20"/>
                      <w:szCs w:val="20"/>
                      <w:highlight w:val="none"/>
                      <w:u w:val="none"/>
                    </w:rPr>
                  </w:pPr>
                  <w:r>
                    <w:rPr>
                      <w:rFonts w:hint="eastAsia" w:ascii="宋体" w:hAnsi="宋体" w:eastAsia="宋体" w:cs="宋体"/>
                      <w:i w:val="0"/>
                      <w:iCs w:val="0"/>
                      <w:color w:val="000000"/>
                      <w:kern w:val="0"/>
                      <w:sz w:val="20"/>
                      <w:szCs w:val="20"/>
                      <w:highlight w:val="none"/>
                      <w:u w:val="none"/>
                      <w:lang w:val="en-US" w:eastAsia="zh-CN" w:bidi="ar"/>
                    </w:rPr>
                    <w:t>3</w:t>
                  </w:r>
                </w:p>
              </w:tc>
              <w:tc>
                <w:tcPr>
                  <w:tcW w:w="521" w:type="pct"/>
                  <w:tcBorders>
                    <w:top w:val="single" w:color="000000" w:sz="4" w:space="0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shd w:val="clear" w:color="auto" w:fill="FFFFFF"/>
                  <w:noWrap/>
                  <w:vAlign w:val="center"/>
                </w:tcPr>
                <w:p w14:paraId="158C0852">
                  <w:pPr>
                    <w:keepNext w:val="0"/>
                    <w:keepLines w:val="0"/>
                    <w:widowControl/>
                    <w:suppressLineNumbers w:val="0"/>
                    <w:jc w:val="center"/>
                    <w:textAlignment w:val="center"/>
                    <w:rPr>
                      <w:rFonts w:hint="eastAsia" w:ascii="宋体" w:hAnsi="宋体" w:eastAsia="宋体" w:cs="宋体"/>
                      <w:i w:val="0"/>
                      <w:iCs w:val="0"/>
                      <w:color w:val="000000"/>
                      <w:sz w:val="20"/>
                      <w:szCs w:val="20"/>
                      <w:highlight w:val="none"/>
                      <w:u w:val="none"/>
                    </w:rPr>
                  </w:pPr>
                  <w:r>
                    <w:rPr>
                      <w:rFonts w:hint="eastAsia" w:ascii="宋体" w:hAnsi="宋体" w:eastAsia="宋体" w:cs="宋体"/>
                      <w:i w:val="0"/>
                      <w:iCs w:val="0"/>
                      <w:color w:val="000000"/>
                      <w:kern w:val="0"/>
                      <w:sz w:val="20"/>
                      <w:szCs w:val="20"/>
                      <w:highlight w:val="none"/>
                      <w:u w:val="none"/>
                      <w:lang w:val="en-US" w:eastAsia="zh-CN" w:bidi="ar"/>
                    </w:rPr>
                    <w:t>跨陇海铁路桥</w:t>
                  </w:r>
                </w:p>
              </w:tc>
              <w:tc>
                <w:tcPr>
                  <w:tcW w:w="1253" w:type="pct"/>
                  <w:tcBorders>
                    <w:top w:val="single" w:color="000000" w:sz="4" w:space="0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shd w:val="clear" w:color="auto" w:fill="FFFFFF"/>
                  <w:vAlign w:val="center"/>
                </w:tcPr>
                <w:p w14:paraId="490A29C2">
                  <w:pPr>
                    <w:keepNext w:val="0"/>
                    <w:keepLines w:val="0"/>
                    <w:widowControl/>
                    <w:suppressLineNumbers w:val="0"/>
                    <w:jc w:val="left"/>
                    <w:textAlignment w:val="center"/>
                    <w:rPr>
                      <w:rFonts w:hint="eastAsia" w:ascii="宋体" w:hAnsi="宋体" w:eastAsia="宋体" w:cs="宋体"/>
                      <w:i w:val="0"/>
                      <w:iCs w:val="0"/>
                      <w:color w:val="000000"/>
                      <w:sz w:val="20"/>
                      <w:szCs w:val="20"/>
                      <w:highlight w:val="none"/>
                      <w:u w:val="none"/>
                    </w:rPr>
                  </w:pPr>
                  <w:r>
                    <w:rPr>
                      <w:rFonts w:hint="eastAsia" w:ascii="宋体" w:hAnsi="宋体" w:eastAsia="宋体" w:cs="宋体"/>
                      <w:i w:val="0"/>
                      <w:iCs w:val="0"/>
                      <w:color w:val="000000"/>
                      <w:kern w:val="0"/>
                      <w:sz w:val="20"/>
                      <w:szCs w:val="20"/>
                      <w:highlight w:val="none"/>
                      <w:u w:val="none"/>
                      <w:lang w:val="en-US" w:eastAsia="zh-CN" w:bidi="ar"/>
                    </w:rPr>
                    <w:t>分离式桥梁，单幅三车道</w:t>
                  </w:r>
                  <w:r>
                    <w:rPr>
                      <w:rFonts w:hint="eastAsia" w:ascii="宋体" w:hAnsi="宋体" w:eastAsia="宋体" w:cs="宋体"/>
                      <w:i w:val="0"/>
                      <w:iCs w:val="0"/>
                      <w:color w:val="000000"/>
                      <w:kern w:val="0"/>
                      <w:sz w:val="20"/>
                      <w:szCs w:val="20"/>
                      <w:highlight w:val="none"/>
                      <w:u w:val="none"/>
                      <w:lang w:val="en-US" w:eastAsia="zh-CN" w:bidi="ar"/>
                    </w:rPr>
                    <w:br w:type="textWrapping"/>
                  </w:r>
                  <w:r>
                    <w:rPr>
                      <w:rFonts w:hint="eastAsia" w:ascii="宋体" w:hAnsi="宋体" w:eastAsia="宋体" w:cs="宋体"/>
                      <w:i w:val="0"/>
                      <w:iCs w:val="0"/>
                      <w:color w:val="000000"/>
                      <w:kern w:val="0"/>
                      <w:sz w:val="20"/>
                      <w:szCs w:val="20"/>
                      <w:highlight w:val="none"/>
                      <w:u w:val="none"/>
                      <w:lang w:val="en-US" w:eastAsia="zh-CN" w:bidi="ar"/>
                    </w:rPr>
                    <w:t>17-19跨（44+72+72+44+44）变截面连续箱梁；</w:t>
                  </w:r>
                  <w:r>
                    <w:rPr>
                      <w:rFonts w:hint="eastAsia" w:ascii="宋体" w:hAnsi="宋体" w:eastAsia="宋体" w:cs="宋体"/>
                      <w:i w:val="0"/>
                      <w:iCs w:val="0"/>
                      <w:color w:val="000000"/>
                      <w:kern w:val="0"/>
                      <w:sz w:val="20"/>
                      <w:szCs w:val="20"/>
                      <w:highlight w:val="none"/>
                      <w:u w:val="none"/>
                      <w:lang w:val="en-US" w:eastAsia="zh-CN" w:bidi="ar"/>
                    </w:rPr>
                    <w:br w:type="textWrapping"/>
                  </w:r>
                  <w:r>
                    <w:rPr>
                      <w:rFonts w:hint="eastAsia" w:ascii="宋体" w:hAnsi="宋体" w:eastAsia="宋体" w:cs="宋体"/>
                      <w:i w:val="0"/>
                      <w:iCs w:val="0"/>
                      <w:color w:val="000000"/>
                      <w:kern w:val="0"/>
                      <w:sz w:val="20"/>
                      <w:szCs w:val="20"/>
                      <w:highlight w:val="none"/>
                      <w:u w:val="none"/>
                      <w:lang w:val="en-US" w:eastAsia="zh-CN" w:bidi="ar"/>
                    </w:rPr>
                    <w:t>其余为等截面连续箱梁</w:t>
                  </w:r>
                </w:p>
              </w:tc>
              <w:tc>
                <w:tcPr>
                  <w:tcW w:w="396" w:type="pct"/>
                  <w:tcBorders>
                    <w:top w:val="single" w:color="000000" w:sz="4" w:space="0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shd w:val="clear" w:color="auto" w:fill="FFFFFF"/>
                  <w:vAlign w:val="center"/>
                </w:tcPr>
                <w:p w14:paraId="2C63F0A2">
                  <w:pPr>
                    <w:keepNext w:val="0"/>
                    <w:keepLines w:val="0"/>
                    <w:widowControl/>
                    <w:suppressLineNumbers w:val="0"/>
                    <w:jc w:val="center"/>
                    <w:textAlignment w:val="center"/>
                    <w:rPr>
                      <w:rFonts w:hint="eastAsia" w:ascii="宋体" w:hAnsi="宋体" w:eastAsia="宋体" w:cs="宋体"/>
                      <w:i w:val="0"/>
                      <w:iCs w:val="0"/>
                      <w:color w:val="000000"/>
                      <w:sz w:val="20"/>
                      <w:szCs w:val="20"/>
                      <w:highlight w:val="none"/>
                      <w:u w:val="none"/>
                    </w:rPr>
                  </w:pPr>
                  <w:r>
                    <w:rPr>
                      <w:rFonts w:hint="eastAsia" w:ascii="宋体" w:hAnsi="宋体" w:eastAsia="宋体" w:cs="宋体"/>
                      <w:i w:val="0"/>
                      <w:iCs w:val="0"/>
                      <w:color w:val="000000"/>
                      <w:kern w:val="0"/>
                      <w:sz w:val="20"/>
                      <w:szCs w:val="20"/>
                      <w:highlight w:val="none"/>
                      <w:u w:val="none"/>
                      <w:lang w:val="en-US" w:eastAsia="zh-CN" w:bidi="ar"/>
                    </w:rPr>
                    <w:t>常规定期检测</w:t>
                  </w:r>
                </w:p>
              </w:tc>
              <w:tc>
                <w:tcPr>
                  <w:tcW w:w="348" w:type="pct"/>
                  <w:tcBorders>
                    <w:top w:val="single" w:color="000000" w:sz="4" w:space="0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shd w:val="clear" w:color="auto" w:fill="FFFFFF"/>
                  <w:vAlign w:val="center"/>
                </w:tcPr>
                <w:p w14:paraId="30C20729">
                  <w:pPr>
                    <w:keepNext w:val="0"/>
                    <w:keepLines w:val="0"/>
                    <w:widowControl/>
                    <w:suppressLineNumbers w:val="0"/>
                    <w:jc w:val="center"/>
                    <w:textAlignment w:val="center"/>
                    <w:rPr>
                      <w:rFonts w:hint="eastAsia" w:ascii="宋体" w:hAnsi="宋体" w:eastAsia="宋体" w:cs="宋体"/>
                      <w:i w:val="0"/>
                      <w:iCs w:val="0"/>
                      <w:color w:val="000000"/>
                      <w:sz w:val="20"/>
                      <w:szCs w:val="20"/>
                      <w:highlight w:val="none"/>
                      <w:u w:val="none"/>
                    </w:rPr>
                  </w:pPr>
                  <w:r>
                    <w:rPr>
                      <w:rFonts w:hint="eastAsia" w:ascii="宋体" w:hAnsi="宋体" w:eastAsia="宋体" w:cs="宋体"/>
                      <w:i w:val="0"/>
                      <w:iCs w:val="0"/>
                      <w:color w:val="000000"/>
                      <w:kern w:val="0"/>
                      <w:sz w:val="20"/>
                      <w:szCs w:val="20"/>
                      <w:highlight w:val="none"/>
                      <w:u w:val="none"/>
                      <w:lang w:val="en-US" w:eastAsia="zh-CN" w:bidi="ar"/>
                    </w:rPr>
                    <w:t>II类Ⅰ等</w:t>
                  </w:r>
                </w:p>
              </w:tc>
              <w:tc>
                <w:tcPr>
                  <w:tcW w:w="296" w:type="pct"/>
                  <w:tcBorders>
                    <w:top w:val="single" w:color="000000" w:sz="4" w:space="0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shd w:val="clear" w:color="auto" w:fill="FFFFFF"/>
                  <w:noWrap/>
                  <w:vAlign w:val="center"/>
                </w:tcPr>
                <w:p w14:paraId="137A4475">
                  <w:pPr>
                    <w:keepNext w:val="0"/>
                    <w:keepLines w:val="0"/>
                    <w:widowControl/>
                    <w:suppressLineNumbers w:val="0"/>
                    <w:jc w:val="center"/>
                    <w:textAlignment w:val="center"/>
                    <w:rPr>
                      <w:rFonts w:hint="eastAsia" w:ascii="宋体" w:hAnsi="宋体" w:eastAsia="宋体" w:cs="宋体"/>
                      <w:i w:val="0"/>
                      <w:iCs w:val="0"/>
                      <w:color w:val="000000"/>
                      <w:sz w:val="20"/>
                      <w:szCs w:val="20"/>
                      <w:highlight w:val="none"/>
                      <w:u w:val="none"/>
                    </w:rPr>
                  </w:pPr>
                  <w:r>
                    <w:rPr>
                      <w:rFonts w:hint="eastAsia" w:ascii="宋体" w:hAnsi="宋体" w:eastAsia="宋体" w:cs="宋体"/>
                      <w:i w:val="0"/>
                      <w:iCs w:val="0"/>
                      <w:color w:val="000000"/>
                      <w:kern w:val="0"/>
                      <w:sz w:val="20"/>
                      <w:szCs w:val="20"/>
                      <w:highlight w:val="none"/>
                      <w:u w:val="none"/>
                      <w:lang w:val="en-US" w:eastAsia="zh-CN" w:bidi="ar"/>
                    </w:rPr>
                    <w:t>1844</w:t>
                  </w:r>
                </w:p>
              </w:tc>
              <w:tc>
                <w:tcPr>
                  <w:tcW w:w="340" w:type="pct"/>
                  <w:tcBorders>
                    <w:top w:val="single" w:color="000000" w:sz="4" w:space="0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shd w:val="clear" w:color="auto" w:fill="FFFFFF"/>
                  <w:vAlign w:val="center"/>
                </w:tcPr>
                <w:p w14:paraId="3743D901">
                  <w:pPr>
                    <w:keepNext w:val="0"/>
                    <w:keepLines w:val="0"/>
                    <w:widowControl/>
                    <w:suppressLineNumbers w:val="0"/>
                    <w:jc w:val="center"/>
                    <w:textAlignment w:val="center"/>
                    <w:rPr>
                      <w:rFonts w:hint="eastAsia" w:ascii="宋体" w:hAnsi="宋体" w:eastAsia="宋体" w:cs="宋体"/>
                      <w:i w:val="0"/>
                      <w:iCs w:val="0"/>
                      <w:color w:val="000000"/>
                      <w:sz w:val="20"/>
                      <w:szCs w:val="20"/>
                      <w:highlight w:val="none"/>
                      <w:u w:val="none"/>
                    </w:rPr>
                  </w:pPr>
                  <w:r>
                    <w:rPr>
                      <w:rFonts w:hint="eastAsia" w:ascii="宋体" w:hAnsi="宋体" w:eastAsia="宋体" w:cs="宋体"/>
                      <w:i w:val="0"/>
                      <w:iCs w:val="0"/>
                      <w:color w:val="000000"/>
                      <w:kern w:val="0"/>
                      <w:sz w:val="20"/>
                      <w:szCs w:val="20"/>
                      <w:highlight w:val="none"/>
                      <w:u w:val="none"/>
                      <w:lang w:val="en-US" w:eastAsia="zh-CN" w:bidi="ar"/>
                    </w:rPr>
                    <w:t>23972</w:t>
                  </w:r>
                </w:p>
              </w:tc>
              <w:tc>
                <w:tcPr>
                  <w:tcW w:w="1012" w:type="pct"/>
                  <w:vMerge w:val="continue"/>
                  <w:tcBorders>
                    <w:top w:val="single" w:color="000000" w:sz="4" w:space="0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shd w:val="clear" w:color="auto" w:fill="auto"/>
                  <w:vAlign w:val="center"/>
                </w:tcPr>
                <w:p w14:paraId="7730A7E8">
                  <w:pPr>
                    <w:jc w:val="left"/>
                    <w:rPr>
                      <w:rFonts w:hint="eastAsia" w:ascii="宋体" w:hAnsi="宋体" w:eastAsia="宋体" w:cs="宋体"/>
                      <w:b/>
                      <w:bCs/>
                      <w:i w:val="0"/>
                      <w:iCs w:val="0"/>
                      <w:color w:val="000000"/>
                      <w:sz w:val="20"/>
                      <w:szCs w:val="20"/>
                      <w:highlight w:val="none"/>
                      <w:u w:val="none"/>
                    </w:rPr>
                  </w:pPr>
                </w:p>
              </w:tc>
              <w:tc>
                <w:tcPr>
                  <w:tcW w:w="590" w:type="pct"/>
                  <w:tcBorders>
                    <w:top w:val="single" w:color="000000" w:sz="4" w:space="0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shd w:val="clear" w:color="auto" w:fill="FFFFFF"/>
                  <w:vAlign w:val="center"/>
                </w:tcPr>
                <w:p w14:paraId="46A31FD9">
                  <w:pPr>
                    <w:keepNext w:val="0"/>
                    <w:keepLines w:val="0"/>
                    <w:widowControl/>
                    <w:suppressLineNumbers w:val="0"/>
                    <w:jc w:val="left"/>
                    <w:textAlignment w:val="center"/>
                    <w:rPr>
                      <w:rFonts w:hint="eastAsia" w:ascii="宋体" w:hAnsi="宋体" w:eastAsia="宋体" w:cs="宋体"/>
                      <w:i w:val="0"/>
                      <w:iCs w:val="0"/>
                      <w:color w:val="000000"/>
                      <w:sz w:val="20"/>
                      <w:szCs w:val="20"/>
                      <w:highlight w:val="none"/>
                      <w:u w:val="none"/>
                    </w:rPr>
                  </w:pPr>
                  <w:r>
                    <w:rPr>
                      <w:rStyle w:val="7"/>
                      <w:highlight w:val="none"/>
                      <w:lang w:val="en-US" w:eastAsia="zh-CN" w:bidi="ar"/>
                    </w:rPr>
                    <w:t>跨陇海铁路，分离式桥梁，单幅三车道</w:t>
                  </w:r>
                  <w:r>
                    <w:rPr>
                      <w:rStyle w:val="8"/>
                      <w:rFonts w:eastAsia="宋体"/>
                      <w:highlight w:val="none"/>
                      <w:lang w:val="en-US" w:eastAsia="zh-CN" w:bidi="ar"/>
                    </w:rPr>
                    <w:t>922</w:t>
                  </w:r>
                  <w:r>
                    <w:rPr>
                      <w:rStyle w:val="7"/>
                      <w:highlight w:val="none"/>
                      <w:lang w:val="en-US" w:eastAsia="zh-CN" w:bidi="ar"/>
                    </w:rPr>
                    <w:t>米，需高空作业</w:t>
                  </w:r>
                </w:p>
              </w:tc>
            </w:tr>
            <w:tr w14:paraId="56B6059B">
              <w:tblPrEx>
                <w:tblBorders>
                  <w:top w:val="none" w:color="auto" w:sz="0" w:space="0"/>
                  <w:left w:val="none" w:color="auto" w:sz="0" w:space="0"/>
                  <w:bottom w:val="none" w:color="auto" w:sz="0" w:space="0"/>
                  <w:right w:val="none" w:color="auto" w:sz="0" w:space="0"/>
                  <w:insideH w:val="none" w:color="auto" w:sz="0" w:space="0"/>
                  <w:insideV w:val="none" w:color="auto" w:sz="0" w:space="0"/>
                </w:tblBorders>
                <w:shd w:val="clear" w:color="auto" w:fill="auto"/>
                <w:tblCellMar>
                  <w:top w:w="0" w:type="dxa"/>
                  <w:left w:w="108" w:type="dxa"/>
                  <w:bottom w:w="0" w:type="dxa"/>
                  <w:right w:w="108" w:type="dxa"/>
                </w:tblCellMar>
              </w:tblPrEx>
              <w:trPr>
                <w:trHeight w:val="900" w:hRule="atLeast"/>
              </w:trPr>
              <w:tc>
                <w:tcPr>
                  <w:tcW w:w="240" w:type="pct"/>
                  <w:tcBorders>
                    <w:top w:val="single" w:color="000000" w:sz="4" w:space="0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shd w:val="clear" w:color="auto" w:fill="FFFFFF"/>
                  <w:noWrap/>
                  <w:vAlign w:val="center"/>
                </w:tcPr>
                <w:p w14:paraId="1C7EC67B">
                  <w:pPr>
                    <w:keepNext w:val="0"/>
                    <w:keepLines w:val="0"/>
                    <w:widowControl/>
                    <w:suppressLineNumbers w:val="0"/>
                    <w:jc w:val="center"/>
                    <w:textAlignment w:val="center"/>
                    <w:rPr>
                      <w:rFonts w:hint="eastAsia" w:ascii="宋体" w:hAnsi="宋体" w:eastAsia="宋体" w:cs="宋体"/>
                      <w:i w:val="0"/>
                      <w:iCs w:val="0"/>
                      <w:color w:val="000000"/>
                      <w:sz w:val="20"/>
                      <w:szCs w:val="20"/>
                      <w:highlight w:val="none"/>
                      <w:u w:val="none"/>
                    </w:rPr>
                  </w:pPr>
                  <w:r>
                    <w:rPr>
                      <w:rFonts w:hint="eastAsia" w:ascii="宋体" w:hAnsi="宋体" w:eastAsia="宋体" w:cs="宋体"/>
                      <w:i w:val="0"/>
                      <w:iCs w:val="0"/>
                      <w:color w:val="000000"/>
                      <w:kern w:val="0"/>
                      <w:sz w:val="20"/>
                      <w:szCs w:val="20"/>
                      <w:highlight w:val="none"/>
                      <w:u w:val="none"/>
                      <w:lang w:val="en-US" w:eastAsia="zh-CN" w:bidi="ar"/>
                    </w:rPr>
                    <w:t>4</w:t>
                  </w:r>
                </w:p>
              </w:tc>
              <w:tc>
                <w:tcPr>
                  <w:tcW w:w="521" w:type="pct"/>
                  <w:tcBorders>
                    <w:top w:val="single" w:color="000000" w:sz="4" w:space="0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shd w:val="clear" w:color="auto" w:fill="FFFFFF"/>
                  <w:noWrap/>
                  <w:vAlign w:val="center"/>
                </w:tcPr>
                <w:p w14:paraId="7B7EF89D">
                  <w:pPr>
                    <w:keepNext w:val="0"/>
                    <w:keepLines w:val="0"/>
                    <w:widowControl/>
                    <w:suppressLineNumbers w:val="0"/>
                    <w:jc w:val="center"/>
                    <w:textAlignment w:val="center"/>
                    <w:rPr>
                      <w:rFonts w:hint="eastAsia" w:ascii="宋体" w:hAnsi="宋体" w:eastAsia="宋体" w:cs="宋体"/>
                      <w:i w:val="0"/>
                      <w:iCs w:val="0"/>
                      <w:color w:val="000000"/>
                      <w:sz w:val="20"/>
                      <w:szCs w:val="20"/>
                      <w:highlight w:val="none"/>
                      <w:u w:val="none"/>
                    </w:rPr>
                  </w:pPr>
                  <w:r>
                    <w:rPr>
                      <w:rFonts w:hint="eastAsia" w:ascii="宋体" w:hAnsi="宋体" w:eastAsia="宋体" w:cs="宋体"/>
                      <w:i w:val="0"/>
                      <w:iCs w:val="0"/>
                      <w:color w:val="000000"/>
                      <w:kern w:val="0"/>
                      <w:sz w:val="20"/>
                      <w:szCs w:val="20"/>
                      <w:highlight w:val="none"/>
                      <w:u w:val="none"/>
                      <w:lang w:val="en-US" w:eastAsia="zh-CN" w:bidi="ar"/>
                    </w:rPr>
                    <w:t>大兴路高架桥</w:t>
                  </w:r>
                </w:p>
              </w:tc>
              <w:tc>
                <w:tcPr>
                  <w:tcW w:w="1253" w:type="pct"/>
                  <w:tcBorders>
                    <w:top w:val="single" w:color="000000" w:sz="4" w:space="0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shd w:val="clear" w:color="auto" w:fill="FFFFFF"/>
                  <w:vAlign w:val="center"/>
                </w:tcPr>
                <w:p w14:paraId="0D099654">
                  <w:pPr>
                    <w:keepNext w:val="0"/>
                    <w:keepLines w:val="0"/>
                    <w:widowControl/>
                    <w:suppressLineNumbers w:val="0"/>
                    <w:jc w:val="left"/>
                    <w:textAlignment w:val="center"/>
                    <w:rPr>
                      <w:rFonts w:hint="eastAsia" w:ascii="宋体" w:hAnsi="宋体" w:eastAsia="宋体" w:cs="宋体"/>
                      <w:i w:val="0"/>
                      <w:iCs w:val="0"/>
                      <w:color w:val="000000"/>
                      <w:sz w:val="20"/>
                      <w:szCs w:val="20"/>
                      <w:highlight w:val="none"/>
                      <w:u w:val="none"/>
                    </w:rPr>
                  </w:pPr>
                  <w:r>
                    <w:rPr>
                      <w:rFonts w:hint="eastAsia" w:ascii="宋体" w:hAnsi="宋体" w:eastAsia="宋体" w:cs="宋体"/>
                      <w:i w:val="0"/>
                      <w:iCs w:val="0"/>
                      <w:color w:val="000000"/>
                      <w:kern w:val="0"/>
                      <w:sz w:val="20"/>
                      <w:szCs w:val="20"/>
                      <w:highlight w:val="none"/>
                      <w:u w:val="none"/>
                      <w:lang w:val="en-US" w:eastAsia="zh-CN" w:bidi="ar"/>
                    </w:rPr>
                    <w:t>主桥双向4车道，整体式桥梁设置中央分隔带</w:t>
                  </w:r>
                  <w:r>
                    <w:rPr>
                      <w:rFonts w:hint="eastAsia" w:ascii="宋体" w:hAnsi="宋体" w:eastAsia="宋体" w:cs="宋体"/>
                      <w:i w:val="0"/>
                      <w:iCs w:val="0"/>
                      <w:color w:val="000000"/>
                      <w:kern w:val="0"/>
                      <w:sz w:val="20"/>
                      <w:szCs w:val="20"/>
                      <w:highlight w:val="none"/>
                      <w:u w:val="none"/>
                      <w:lang w:val="en-US" w:eastAsia="zh-CN" w:bidi="ar"/>
                    </w:rPr>
                    <w:br w:type="textWrapping"/>
                  </w:r>
                  <w:r>
                    <w:rPr>
                      <w:rFonts w:hint="eastAsia" w:ascii="宋体" w:hAnsi="宋体" w:eastAsia="宋体" w:cs="宋体"/>
                      <w:i w:val="0"/>
                      <w:iCs w:val="0"/>
                      <w:color w:val="000000"/>
                      <w:kern w:val="0"/>
                      <w:sz w:val="20"/>
                      <w:szCs w:val="20"/>
                      <w:highlight w:val="none"/>
                      <w:u w:val="none"/>
                      <w:lang w:val="en-US" w:eastAsia="zh-CN" w:bidi="ar"/>
                    </w:rPr>
                    <w:t>1-13跨、25-63跨预制预应力箱梁；</w:t>
                  </w:r>
                  <w:r>
                    <w:rPr>
                      <w:rFonts w:hint="eastAsia" w:ascii="宋体" w:hAnsi="宋体" w:eastAsia="宋体" w:cs="宋体"/>
                      <w:i w:val="0"/>
                      <w:iCs w:val="0"/>
                      <w:color w:val="000000"/>
                      <w:kern w:val="0"/>
                      <w:sz w:val="20"/>
                      <w:szCs w:val="20"/>
                      <w:highlight w:val="none"/>
                      <w:u w:val="none"/>
                      <w:lang w:val="en-US" w:eastAsia="zh-CN" w:bidi="ar"/>
                    </w:rPr>
                    <w:br w:type="textWrapping"/>
                  </w:r>
                  <w:r>
                    <w:rPr>
                      <w:rFonts w:hint="eastAsia" w:ascii="宋体" w:hAnsi="宋体" w:eastAsia="宋体" w:cs="宋体"/>
                      <w:i w:val="0"/>
                      <w:iCs w:val="0"/>
                      <w:color w:val="000000"/>
                      <w:kern w:val="0"/>
                      <w:sz w:val="20"/>
                      <w:szCs w:val="20"/>
                      <w:highlight w:val="none"/>
                      <w:u w:val="none"/>
                      <w:lang w:val="en-US" w:eastAsia="zh-CN" w:bidi="ar"/>
                    </w:rPr>
                    <w:t>14-24跨预应力连续箱梁</w:t>
                  </w:r>
                </w:p>
              </w:tc>
              <w:tc>
                <w:tcPr>
                  <w:tcW w:w="396" w:type="pct"/>
                  <w:tcBorders>
                    <w:top w:val="single" w:color="000000" w:sz="4" w:space="0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shd w:val="clear" w:color="auto" w:fill="FFFFFF"/>
                  <w:vAlign w:val="center"/>
                </w:tcPr>
                <w:p w14:paraId="1669FCA9">
                  <w:pPr>
                    <w:keepNext w:val="0"/>
                    <w:keepLines w:val="0"/>
                    <w:widowControl/>
                    <w:suppressLineNumbers w:val="0"/>
                    <w:jc w:val="center"/>
                    <w:textAlignment w:val="center"/>
                    <w:rPr>
                      <w:rFonts w:hint="eastAsia" w:ascii="宋体" w:hAnsi="宋体" w:eastAsia="宋体" w:cs="宋体"/>
                      <w:i w:val="0"/>
                      <w:iCs w:val="0"/>
                      <w:color w:val="000000"/>
                      <w:sz w:val="20"/>
                      <w:szCs w:val="20"/>
                      <w:highlight w:val="none"/>
                      <w:u w:val="none"/>
                    </w:rPr>
                  </w:pPr>
                  <w:r>
                    <w:rPr>
                      <w:rFonts w:hint="eastAsia" w:ascii="宋体" w:hAnsi="宋体" w:eastAsia="宋体" w:cs="宋体"/>
                      <w:i w:val="0"/>
                      <w:iCs w:val="0"/>
                      <w:color w:val="000000"/>
                      <w:kern w:val="0"/>
                      <w:sz w:val="20"/>
                      <w:szCs w:val="20"/>
                      <w:highlight w:val="none"/>
                      <w:u w:val="none"/>
                      <w:lang w:val="en-US" w:eastAsia="zh-CN" w:bidi="ar"/>
                    </w:rPr>
                    <w:t>常规定期检测</w:t>
                  </w:r>
                </w:p>
              </w:tc>
              <w:tc>
                <w:tcPr>
                  <w:tcW w:w="348" w:type="pct"/>
                  <w:tcBorders>
                    <w:top w:val="single" w:color="000000" w:sz="4" w:space="0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shd w:val="clear" w:color="auto" w:fill="FFFFFF"/>
                  <w:vAlign w:val="center"/>
                </w:tcPr>
                <w:p w14:paraId="0020A829">
                  <w:pPr>
                    <w:keepNext w:val="0"/>
                    <w:keepLines w:val="0"/>
                    <w:widowControl/>
                    <w:suppressLineNumbers w:val="0"/>
                    <w:jc w:val="center"/>
                    <w:textAlignment w:val="center"/>
                    <w:rPr>
                      <w:rFonts w:hint="eastAsia" w:ascii="宋体" w:hAnsi="宋体" w:eastAsia="宋体" w:cs="宋体"/>
                      <w:i w:val="0"/>
                      <w:iCs w:val="0"/>
                      <w:color w:val="000000"/>
                      <w:sz w:val="20"/>
                      <w:szCs w:val="20"/>
                      <w:highlight w:val="none"/>
                      <w:u w:val="none"/>
                    </w:rPr>
                  </w:pPr>
                  <w:r>
                    <w:rPr>
                      <w:rFonts w:hint="eastAsia" w:ascii="宋体" w:hAnsi="宋体" w:eastAsia="宋体" w:cs="宋体"/>
                      <w:i w:val="0"/>
                      <w:iCs w:val="0"/>
                      <w:color w:val="000000"/>
                      <w:kern w:val="0"/>
                      <w:sz w:val="20"/>
                      <w:szCs w:val="20"/>
                      <w:highlight w:val="none"/>
                      <w:u w:val="none"/>
                      <w:lang w:val="en-US" w:eastAsia="zh-CN" w:bidi="ar"/>
                    </w:rPr>
                    <w:t>II类Ⅰ等</w:t>
                  </w:r>
                </w:p>
              </w:tc>
              <w:tc>
                <w:tcPr>
                  <w:tcW w:w="296" w:type="pct"/>
                  <w:tcBorders>
                    <w:top w:val="single" w:color="000000" w:sz="4" w:space="0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shd w:val="clear" w:color="auto" w:fill="FFFFFF"/>
                  <w:noWrap/>
                  <w:vAlign w:val="center"/>
                </w:tcPr>
                <w:p w14:paraId="393F959E">
                  <w:pPr>
                    <w:keepNext w:val="0"/>
                    <w:keepLines w:val="0"/>
                    <w:widowControl/>
                    <w:suppressLineNumbers w:val="0"/>
                    <w:jc w:val="center"/>
                    <w:textAlignment w:val="center"/>
                    <w:rPr>
                      <w:rFonts w:hint="eastAsia" w:ascii="宋体" w:hAnsi="宋体" w:eastAsia="宋体" w:cs="宋体"/>
                      <w:i w:val="0"/>
                      <w:iCs w:val="0"/>
                      <w:color w:val="000000"/>
                      <w:sz w:val="20"/>
                      <w:szCs w:val="20"/>
                      <w:highlight w:val="none"/>
                      <w:u w:val="none"/>
                    </w:rPr>
                  </w:pPr>
                  <w:r>
                    <w:rPr>
                      <w:rFonts w:hint="eastAsia" w:ascii="宋体" w:hAnsi="宋体" w:eastAsia="宋体" w:cs="宋体"/>
                      <w:i w:val="0"/>
                      <w:iCs w:val="0"/>
                      <w:color w:val="000000"/>
                      <w:kern w:val="0"/>
                      <w:sz w:val="20"/>
                      <w:szCs w:val="20"/>
                      <w:highlight w:val="none"/>
                      <w:u w:val="none"/>
                      <w:lang w:val="en-US" w:eastAsia="zh-CN" w:bidi="ar"/>
                    </w:rPr>
                    <w:t>1916</w:t>
                  </w:r>
                </w:p>
              </w:tc>
              <w:tc>
                <w:tcPr>
                  <w:tcW w:w="340" w:type="pct"/>
                  <w:tcBorders>
                    <w:top w:val="single" w:color="000000" w:sz="4" w:space="0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shd w:val="clear" w:color="auto" w:fill="FFFFFF"/>
                  <w:vAlign w:val="center"/>
                </w:tcPr>
                <w:p w14:paraId="5EA31872">
                  <w:pPr>
                    <w:keepNext w:val="0"/>
                    <w:keepLines w:val="0"/>
                    <w:widowControl/>
                    <w:suppressLineNumbers w:val="0"/>
                    <w:jc w:val="center"/>
                    <w:textAlignment w:val="center"/>
                    <w:rPr>
                      <w:rFonts w:hint="eastAsia" w:ascii="宋体" w:hAnsi="宋体" w:eastAsia="宋体" w:cs="宋体"/>
                      <w:i w:val="0"/>
                      <w:iCs w:val="0"/>
                      <w:color w:val="000000"/>
                      <w:sz w:val="20"/>
                      <w:szCs w:val="20"/>
                      <w:highlight w:val="none"/>
                      <w:u w:val="none"/>
                    </w:rPr>
                  </w:pPr>
                  <w:r>
                    <w:rPr>
                      <w:rFonts w:hint="eastAsia" w:ascii="宋体" w:hAnsi="宋体" w:eastAsia="宋体" w:cs="宋体"/>
                      <w:i w:val="0"/>
                      <w:iCs w:val="0"/>
                      <w:color w:val="000000"/>
                      <w:kern w:val="0"/>
                      <w:sz w:val="20"/>
                      <w:szCs w:val="20"/>
                      <w:highlight w:val="none"/>
                      <w:u w:val="none"/>
                      <w:lang w:val="en-US" w:eastAsia="zh-CN" w:bidi="ar"/>
                    </w:rPr>
                    <w:t>32568.97</w:t>
                  </w:r>
                </w:p>
              </w:tc>
              <w:tc>
                <w:tcPr>
                  <w:tcW w:w="1012" w:type="pct"/>
                  <w:vMerge w:val="continue"/>
                  <w:tcBorders>
                    <w:top w:val="single" w:color="000000" w:sz="4" w:space="0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shd w:val="clear" w:color="auto" w:fill="auto"/>
                  <w:vAlign w:val="center"/>
                </w:tcPr>
                <w:p w14:paraId="0BCFAE3A">
                  <w:pPr>
                    <w:jc w:val="left"/>
                    <w:rPr>
                      <w:rFonts w:hint="eastAsia" w:ascii="宋体" w:hAnsi="宋体" w:eastAsia="宋体" w:cs="宋体"/>
                      <w:b/>
                      <w:bCs/>
                      <w:i w:val="0"/>
                      <w:iCs w:val="0"/>
                      <w:color w:val="000000"/>
                      <w:sz w:val="20"/>
                      <w:szCs w:val="20"/>
                      <w:highlight w:val="none"/>
                      <w:u w:val="none"/>
                    </w:rPr>
                  </w:pPr>
                </w:p>
              </w:tc>
              <w:tc>
                <w:tcPr>
                  <w:tcW w:w="590" w:type="pct"/>
                  <w:tcBorders>
                    <w:top w:val="single" w:color="000000" w:sz="4" w:space="0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shd w:val="clear" w:color="auto" w:fill="FFFFFF"/>
                  <w:vAlign w:val="center"/>
                </w:tcPr>
                <w:p w14:paraId="0AE049BA">
                  <w:pPr>
                    <w:keepNext w:val="0"/>
                    <w:keepLines w:val="0"/>
                    <w:widowControl/>
                    <w:suppressLineNumbers w:val="0"/>
                    <w:jc w:val="left"/>
                    <w:textAlignment w:val="center"/>
                    <w:rPr>
                      <w:rFonts w:hint="eastAsia" w:ascii="宋体" w:hAnsi="宋体" w:eastAsia="宋体" w:cs="宋体"/>
                      <w:i w:val="0"/>
                      <w:iCs w:val="0"/>
                      <w:color w:val="000000"/>
                      <w:sz w:val="20"/>
                      <w:szCs w:val="20"/>
                      <w:highlight w:val="none"/>
                      <w:u w:val="none"/>
                    </w:rPr>
                  </w:pPr>
                  <w:r>
                    <w:rPr>
                      <w:rFonts w:hint="eastAsia" w:ascii="宋体" w:hAnsi="宋体" w:eastAsia="宋体" w:cs="宋体"/>
                      <w:i w:val="0"/>
                      <w:iCs w:val="0"/>
                      <w:color w:val="000000"/>
                      <w:kern w:val="0"/>
                      <w:sz w:val="20"/>
                      <w:szCs w:val="20"/>
                      <w:highlight w:val="none"/>
                      <w:u w:val="none"/>
                      <w:lang w:val="en-US" w:eastAsia="zh-CN" w:bidi="ar"/>
                    </w:rPr>
                    <w:t>整体式桥梁，双向4车道，需高空作业</w:t>
                  </w:r>
                </w:p>
              </w:tc>
            </w:tr>
            <w:tr w14:paraId="7062C539">
              <w:tblPrEx>
                <w:tblBorders>
                  <w:top w:val="none" w:color="auto" w:sz="0" w:space="0"/>
                  <w:left w:val="none" w:color="auto" w:sz="0" w:space="0"/>
                  <w:bottom w:val="none" w:color="auto" w:sz="0" w:space="0"/>
                  <w:right w:val="none" w:color="auto" w:sz="0" w:space="0"/>
                  <w:insideH w:val="none" w:color="auto" w:sz="0" w:space="0"/>
                  <w:insideV w:val="none" w:color="auto" w:sz="0" w:space="0"/>
                </w:tblBorders>
                <w:shd w:val="clear" w:color="auto" w:fill="auto"/>
                <w:tblCellMar>
                  <w:top w:w="0" w:type="dxa"/>
                  <w:left w:w="108" w:type="dxa"/>
                  <w:bottom w:w="0" w:type="dxa"/>
                  <w:right w:w="108" w:type="dxa"/>
                </w:tblCellMar>
              </w:tblPrEx>
              <w:trPr>
                <w:trHeight w:val="1300" w:hRule="atLeast"/>
              </w:trPr>
              <w:tc>
                <w:tcPr>
                  <w:tcW w:w="240" w:type="pct"/>
                  <w:tcBorders>
                    <w:top w:val="single" w:color="000000" w:sz="4" w:space="0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shd w:val="clear" w:color="auto" w:fill="FFFFFF"/>
                  <w:noWrap/>
                  <w:vAlign w:val="center"/>
                </w:tcPr>
                <w:p w14:paraId="741FBE63">
                  <w:pPr>
                    <w:keepNext w:val="0"/>
                    <w:keepLines w:val="0"/>
                    <w:widowControl/>
                    <w:suppressLineNumbers w:val="0"/>
                    <w:jc w:val="center"/>
                    <w:textAlignment w:val="center"/>
                    <w:rPr>
                      <w:rFonts w:hint="eastAsia" w:ascii="宋体" w:hAnsi="宋体" w:eastAsia="宋体" w:cs="宋体"/>
                      <w:i w:val="0"/>
                      <w:iCs w:val="0"/>
                      <w:color w:val="000000"/>
                      <w:sz w:val="20"/>
                      <w:szCs w:val="20"/>
                      <w:highlight w:val="none"/>
                      <w:u w:val="none"/>
                    </w:rPr>
                  </w:pPr>
                  <w:r>
                    <w:rPr>
                      <w:rFonts w:hint="eastAsia" w:ascii="宋体" w:hAnsi="宋体" w:eastAsia="宋体" w:cs="宋体"/>
                      <w:i w:val="0"/>
                      <w:iCs w:val="0"/>
                      <w:color w:val="000000"/>
                      <w:kern w:val="0"/>
                      <w:sz w:val="20"/>
                      <w:szCs w:val="20"/>
                      <w:highlight w:val="none"/>
                      <w:u w:val="none"/>
                      <w:lang w:val="en-US" w:eastAsia="zh-CN" w:bidi="ar"/>
                    </w:rPr>
                    <w:t>5</w:t>
                  </w:r>
                </w:p>
              </w:tc>
              <w:tc>
                <w:tcPr>
                  <w:tcW w:w="521" w:type="pct"/>
                  <w:tcBorders>
                    <w:top w:val="single" w:color="000000" w:sz="4" w:space="0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shd w:val="clear" w:color="auto" w:fill="FFFFFF"/>
                  <w:noWrap/>
                  <w:vAlign w:val="center"/>
                </w:tcPr>
                <w:p w14:paraId="6E37D67D">
                  <w:pPr>
                    <w:keepNext w:val="0"/>
                    <w:keepLines w:val="0"/>
                    <w:widowControl/>
                    <w:suppressLineNumbers w:val="0"/>
                    <w:jc w:val="center"/>
                    <w:textAlignment w:val="center"/>
                    <w:rPr>
                      <w:rFonts w:hint="eastAsia" w:ascii="宋体" w:hAnsi="宋体" w:eastAsia="宋体" w:cs="宋体"/>
                      <w:i w:val="0"/>
                      <w:iCs w:val="0"/>
                      <w:color w:val="000000"/>
                      <w:sz w:val="20"/>
                      <w:szCs w:val="20"/>
                      <w:highlight w:val="none"/>
                      <w:u w:val="none"/>
                    </w:rPr>
                  </w:pPr>
                  <w:r>
                    <w:rPr>
                      <w:rFonts w:hint="eastAsia" w:ascii="宋体" w:hAnsi="宋体" w:eastAsia="宋体" w:cs="宋体"/>
                      <w:i w:val="0"/>
                      <w:iCs w:val="0"/>
                      <w:color w:val="000000"/>
                      <w:kern w:val="0"/>
                      <w:sz w:val="20"/>
                      <w:szCs w:val="20"/>
                      <w:highlight w:val="none"/>
                      <w:u w:val="none"/>
                      <w:lang w:val="en-US" w:eastAsia="zh-CN" w:bidi="ar"/>
                    </w:rPr>
                    <w:t>东快速干道1号桥</w:t>
                  </w:r>
                </w:p>
              </w:tc>
              <w:tc>
                <w:tcPr>
                  <w:tcW w:w="1253" w:type="pct"/>
                  <w:tcBorders>
                    <w:top w:val="single" w:color="000000" w:sz="4" w:space="0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shd w:val="clear" w:color="auto" w:fill="FFFFFF"/>
                  <w:vAlign w:val="center"/>
                </w:tcPr>
                <w:p w14:paraId="7D9DE472">
                  <w:pPr>
                    <w:keepNext w:val="0"/>
                    <w:keepLines w:val="0"/>
                    <w:widowControl/>
                    <w:suppressLineNumbers w:val="0"/>
                    <w:jc w:val="left"/>
                    <w:textAlignment w:val="center"/>
                    <w:rPr>
                      <w:rFonts w:hint="eastAsia" w:ascii="宋体" w:hAnsi="宋体" w:eastAsia="宋体" w:cs="宋体"/>
                      <w:i w:val="0"/>
                      <w:iCs w:val="0"/>
                      <w:color w:val="000000"/>
                      <w:sz w:val="20"/>
                      <w:szCs w:val="20"/>
                      <w:highlight w:val="none"/>
                      <w:u w:val="none"/>
                    </w:rPr>
                  </w:pPr>
                  <w:r>
                    <w:rPr>
                      <w:rFonts w:hint="eastAsia" w:ascii="宋体" w:hAnsi="宋体" w:eastAsia="宋体" w:cs="宋体"/>
                      <w:i w:val="0"/>
                      <w:iCs w:val="0"/>
                      <w:color w:val="000000"/>
                      <w:kern w:val="0"/>
                      <w:sz w:val="20"/>
                      <w:szCs w:val="20"/>
                      <w:highlight w:val="none"/>
                      <w:u w:val="none"/>
                      <w:lang w:val="en-US" w:eastAsia="zh-CN" w:bidi="ar"/>
                    </w:rPr>
                    <w:t>分离式桥梁，单幅三车道</w:t>
                  </w:r>
                  <w:r>
                    <w:rPr>
                      <w:rFonts w:hint="eastAsia" w:ascii="宋体" w:hAnsi="宋体" w:eastAsia="宋体" w:cs="宋体"/>
                      <w:i w:val="0"/>
                      <w:iCs w:val="0"/>
                      <w:color w:val="000000"/>
                      <w:kern w:val="0"/>
                      <w:sz w:val="20"/>
                      <w:szCs w:val="20"/>
                      <w:highlight w:val="none"/>
                      <w:u w:val="none"/>
                      <w:lang w:val="en-US" w:eastAsia="zh-CN" w:bidi="ar"/>
                    </w:rPr>
                    <w:br w:type="textWrapping"/>
                  </w:r>
                  <w:r>
                    <w:rPr>
                      <w:rFonts w:hint="eastAsia" w:ascii="宋体" w:hAnsi="宋体" w:eastAsia="宋体" w:cs="宋体"/>
                      <w:i w:val="0"/>
                      <w:iCs w:val="0"/>
                      <w:color w:val="000000"/>
                      <w:kern w:val="0"/>
                      <w:sz w:val="20"/>
                      <w:szCs w:val="20"/>
                      <w:highlight w:val="none"/>
                      <w:u w:val="none"/>
                      <w:lang w:val="en-US" w:eastAsia="zh-CN" w:bidi="ar"/>
                    </w:rPr>
                    <w:t>1-21跨预制预应力空心板梁；</w:t>
                  </w:r>
                  <w:r>
                    <w:rPr>
                      <w:rFonts w:hint="eastAsia" w:ascii="宋体" w:hAnsi="宋体" w:eastAsia="宋体" w:cs="宋体"/>
                      <w:i w:val="0"/>
                      <w:iCs w:val="0"/>
                      <w:color w:val="000000"/>
                      <w:kern w:val="0"/>
                      <w:sz w:val="20"/>
                      <w:szCs w:val="20"/>
                      <w:highlight w:val="none"/>
                      <w:u w:val="none"/>
                      <w:lang w:val="en-US" w:eastAsia="zh-CN" w:bidi="ar"/>
                    </w:rPr>
                    <w:br w:type="textWrapping"/>
                  </w:r>
                  <w:r>
                    <w:rPr>
                      <w:rFonts w:hint="eastAsia" w:ascii="宋体" w:hAnsi="宋体" w:eastAsia="宋体" w:cs="宋体"/>
                      <w:i w:val="0"/>
                      <w:iCs w:val="0"/>
                      <w:color w:val="000000"/>
                      <w:kern w:val="0"/>
                      <w:sz w:val="20"/>
                      <w:szCs w:val="20"/>
                      <w:highlight w:val="none"/>
                      <w:u w:val="none"/>
                      <w:lang w:val="en-US" w:eastAsia="zh-CN" w:bidi="ar"/>
                    </w:rPr>
                    <w:t>22-26跨变截面连续箱梁</w:t>
                  </w:r>
                  <w:r>
                    <w:rPr>
                      <w:rFonts w:hint="eastAsia" w:ascii="宋体" w:hAnsi="宋体" w:eastAsia="宋体" w:cs="宋体"/>
                      <w:i w:val="0"/>
                      <w:iCs w:val="0"/>
                      <w:color w:val="000000"/>
                      <w:kern w:val="0"/>
                      <w:sz w:val="20"/>
                      <w:szCs w:val="20"/>
                      <w:highlight w:val="none"/>
                      <w:u w:val="none"/>
                      <w:lang w:val="en-US" w:eastAsia="zh-CN" w:bidi="ar"/>
                    </w:rPr>
                    <w:br w:type="textWrapping"/>
                  </w:r>
                  <w:r>
                    <w:rPr>
                      <w:rFonts w:hint="eastAsia" w:ascii="宋体" w:hAnsi="宋体" w:eastAsia="宋体" w:cs="宋体"/>
                      <w:i w:val="0"/>
                      <w:iCs w:val="0"/>
                      <w:color w:val="000000"/>
                      <w:kern w:val="0"/>
                      <w:sz w:val="20"/>
                      <w:szCs w:val="20"/>
                      <w:highlight w:val="none"/>
                      <w:u w:val="none"/>
                      <w:lang w:val="en-US" w:eastAsia="zh-CN" w:bidi="ar"/>
                    </w:rPr>
                    <w:t>27-38空心板梁；</w:t>
                  </w:r>
                </w:p>
              </w:tc>
              <w:tc>
                <w:tcPr>
                  <w:tcW w:w="396" w:type="pct"/>
                  <w:tcBorders>
                    <w:top w:val="single" w:color="000000" w:sz="4" w:space="0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shd w:val="clear" w:color="auto" w:fill="FFFFFF"/>
                  <w:vAlign w:val="center"/>
                </w:tcPr>
                <w:p w14:paraId="67C5F104">
                  <w:pPr>
                    <w:keepNext w:val="0"/>
                    <w:keepLines w:val="0"/>
                    <w:widowControl/>
                    <w:suppressLineNumbers w:val="0"/>
                    <w:jc w:val="center"/>
                    <w:textAlignment w:val="center"/>
                    <w:rPr>
                      <w:rFonts w:hint="eastAsia" w:ascii="宋体" w:hAnsi="宋体" w:eastAsia="宋体" w:cs="宋体"/>
                      <w:i w:val="0"/>
                      <w:iCs w:val="0"/>
                      <w:color w:val="000000"/>
                      <w:sz w:val="20"/>
                      <w:szCs w:val="20"/>
                      <w:highlight w:val="none"/>
                      <w:u w:val="none"/>
                    </w:rPr>
                  </w:pPr>
                  <w:r>
                    <w:rPr>
                      <w:rFonts w:hint="eastAsia" w:ascii="宋体" w:hAnsi="宋体" w:eastAsia="宋体" w:cs="宋体"/>
                      <w:i w:val="0"/>
                      <w:iCs w:val="0"/>
                      <w:color w:val="000000"/>
                      <w:kern w:val="0"/>
                      <w:sz w:val="20"/>
                      <w:szCs w:val="20"/>
                      <w:highlight w:val="none"/>
                      <w:u w:val="none"/>
                      <w:lang w:val="en-US" w:eastAsia="zh-CN" w:bidi="ar"/>
                    </w:rPr>
                    <w:t>常规定期检测</w:t>
                  </w:r>
                </w:p>
              </w:tc>
              <w:tc>
                <w:tcPr>
                  <w:tcW w:w="348" w:type="pct"/>
                  <w:tcBorders>
                    <w:top w:val="single" w:color="000000" w:sz="4" w:space="0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shd w:val="clear" w:color="auto" w:fill="FFFFFF"/>
                  <w:vAlign w:val="center"/>
                </w:tcPr>
                <w:p w14:paraId="0D1E52FA">
                  <w:pPr>
                    <w:keepNext w:val="0"/>
                    <w:keepLines w:val="0"/>
                    <w:widowControl/>
                    <w:suppressLineNumbers w:val="0"/>
                    <w:jc w:val="center"/>
                    <w:textAlignment w:val="center"/>
                    <w:rPr>
                      <w:rFonts w:hint="eastAsia" w:ascii="宋体" w:hAnsi="宋体" w:eastAsia="宋体" w:cs="宋体"/>
                      <w:i w:val="0"/>
                      <w:iCs w:val="0"/>
                      <w:color w:val="000000"/>
                      <w:sz w:val="20"/>
                      <w:szCs w:val="20"/>
                      <w:highlight w:val="none"/>
                      <w:u w:val="none"/>
                    </w:rPr>
                  </w:pPr>
                  <w:r>
                    <w:rPr>
                      <w:rFonts w:hint="eastAsia" w:ascii="宋体" w:hAnsi="宋体" w:eastAsia="宋体" w:cs="宋体"/>
                      <w:i w:val="0"/>
                      <w:iCs w:val="0"/>
                      <w:color w:val="000000"/>
                      <w:kern w:val="0"/>
                      <w:sz w:val="20"/>
                      <w:szCs w:val="20"/>
                      <w:highlight w:val="none"/>
                      <w:u w:val="none"/>
                      <w:lang w:val="en-US" w:eastAsia="zh-CN" w:bidi="ar"/>
                    </w:rPr>
                    <w:t>II类Ⅰ等</w:t>
                  </w:r>
                </w:p>
              </w:tc>
              <w:tc>
                <w:tcPr>
                  <w:tcW w:w="296" w:type="pct"/>
                  <w:tcBorders>
                    <w:top w:val="single" w:color="000000" w:sz="4" w:space="0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shd w:val="clear" w:color="auto" w:fill="FFFFFF"/>
                  <w:noWrap/>
                  <w:vAlign w:val="center"/>
                </w:tcPr>
                <w:p w14:paraId="625D09E8">
                  <w:pPr>
                    <w:keepNext w:val="0"/>
                    <w:keepLines w:val="0"/>
                    <w:widowControl/>
                    <w:suppressLineNumbers w:val="0"/>
                    <w:jc w:val="center"/>
                    <w:textAlignment w:val="center"/>
                    <w:rPr>
                      <w:rFonts w:hint="eastAsia" w:ascii="宋体" w:hAnsi="宋体" w:eastAsia="宋体" w:cs="宋体"/>
                      <w:i w:val="0"/>
                      <w:iCs w:val="0"/>
                      <w:color w:val="000000"/>
                      <w:sz w:val="20"/>
                      <w:szCs w:val="20"/>
                      <w:highlight w:val="none"/>
                      <w:u w:val="none"/>
                    </w:rPr>
                  </w:pPr>
                  <w:r>
                    <w:rPr>
                      <w:rFonts w:hint="eastAsia" w:ascii="宋体" w:hAnsi="宋体" w:eastAsia="宋体" w:cs="宋体"/>
                      <w:i w:val="0"/>
                      <w:iCs w:val="0"/>
                      <w:color w:val="000000"/>
                      <w:kern w:val="0"/>
                      <w:sz w:val="20"/>
                      <w:szCs w:val="20"/>
                      <w:highlight w:val="none"/>
                      <w:u w:val="none"/>
                      <w:lang w:val="en-US" w:eastAsia="zh-CN" w:bidi="ar"/>
                    </w:rPr>
                    <w:t>1732</w:t>
                  </w:r>
                </w:p>
              </w:tc>
              <w:tc>
                <w:tcPr>
                  <w:tcW w:w="340" w:type="pct"/>
                  <w:tcBorders>
                    <w:top w:val="single" w:color="000000" w:sz="4" w:space="0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shd w:val="clear" w:color="auto" w:fill="FFFFFF"/>
                  <w:vAlign w:val="center"/>
                </w:tcPr>
                <w:p w14:paraId="0064F58C">
                  <w:pPr>
                    <w:keepNext w:val="0"/>
                    <w:keepLines w:val="0"/>
                    <w:widowControl/>
                    <w:suppressLineNumbers w:val="0"/>
                    <w:jc w:val="center"/>
                    <w:textAlignment w:val="center"/>
                    <w:rPr>
                      <w:rFonts w:hint="eastAsia" w:ascii="宋体" w:hAnsi="宋体" w:eastAsia="宋体" w:cs="宋体"/>
                      <w:i w:val="0"/>
                      <w:iCs w:val="0"/>
                      <w:color w:val="000000"/>
                      <w:sz w:val="20"/>
                      <w:szCs w:val="20"/>
                      <w:highlight w:val="none"/>
                      <w:u w:val="none"/>
                    </w:rPr>
                  </w:pPr>
                  <w:r>
                    <w:rPr>
                      <w:rFonts w:hint="eastAsia" w:ascii="宋体" w:hAnsi="宋体" w:eastAsia="宋体" w:cs="宋体"/>
                      <w:i w:val="0"/>
                      <w:iCs w:val="0"/>
                      <w:color w:val="000000"/>
                      <w:kern w:val="0"/>
                      <w:sz w:val="20"/>
                      <w:szCs w:val="20"/>
                      <w:highlight w:val="none"/>
                      <w:u w:val="none"/>
                      <w:lang w:val="en-US" w:eastAsia="zh-CN" w:bidi="ar"/>
                    </w:rPr>
                    <w:t>22514.18</w:t>
                  </w:r>
                </w:p>
              </w:tc>
              <w:tc>
                <w:tcPr>
                  <w:tcW w:w="1012" w:type="pct"/>
                  <w:vMerge w:val="continue"/>
                  <w:tcBorders>
                    <w:top w:val="single" w:color="000000" w:sz="4" w:space="0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shd w:val="clear" w:color="auto" w:fill="auto"/>
                  <w:vAlign w:val="center"/>
                </w:tcPr>
                <w:p w14:paraId="5BA28933">
                  <w:pPr>
                    <w:jc w:val="left"/>
                    <w:rPr>
                      <w:rFonts w:hint="eastAsia" w:ascii="宋体" w:hAnsi="宋体" w:eastAsia="宋体" w:cs="宋体"/>
                      <w:b/>
                      <w:bCs/>
                      <w:i w:val="0"/>
                      <w:iCs w:val="0"/>
                      <w:color w:val="000000"/>
                      <w:sz w:val="20"/>
                      <w:szCs w:val="20"/>
                      <w:highlight w:val="none"/>
                      <w:u w:val="none"/>
                    </w:rPr>
                  </w:pPr>
                </w:p>
              </w:tc>
              <w:tc>
                <w:tcPr>
                  <w:tcW w:w="590" w:type="pct"/>
                  <w:tcBorders>
                    <w:top w:val="single" w:color="000000" w:sz="4" w:space="0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shd w:val="clear" w:color="auto" w:fill="FFFFFF"/>
                  <w:vAlign w:val="center"/>
                </w:tcPr>
                <w:p w14:paraId="174EDC12">
                  <w:pPr>
                    <w:keepNext w:val="0"/>
                    <w:keepLines w:val="0"/>
                    <w:widowControl/>
                    <w:suppressLineNumbers w:val="0"/>
                    <w:jc w:val="left"/>
                    <w:textAlignment w:val="center"/>
                    <w:rPr>
                      <w:rFonts w:hint="eastAsia" w:ascii="宋体" w:hAnsi="宋体" w:eastAsia="宋体" w:cs="宋体"/>
                      <w:i w:val="0"/>
                      <w:iCs w:val="0"/>
                      <w:color w:val="000000"/>
                      <w:sz w:val="20"/>
                      <w:szCs w:val="20"/>
                      <w:highlight w:val="none"/>
                      <w:u w:val="none"/>
                    </w:rPr>
                  </w:pPr>
                  <w:r>
                    <w:rPr>
                      <w:rFonts w:hint="eastAsia" w:ascii="宋体" w:hAnsi="宋体" w:eastAsia="宋体" w:cs="宋体"/>
                      <w:i w:val="0"/>
                      <w:iCs w:val="0"/>
                      <w:color w:val="000000"/>
                      <w:kern w:val="0"/>
                      <w:sz w:val="20"/>
                      <w:szCs w:val="20"/>
                      <w:highlight w:val="none"/>
                      <w:u w:val="none"/>
                      <w:lang w:val="en-US" w:eastAsia="zh-CN" w:bidi="ar"/>
                    </w:rPr>
                    <w:t>上跨陇海铁路，分离式桥梁，单幅三车道866米，需高空作业</w:t>
                  </w:r>
                </w:p>
              </w:tc>
            </w:tr>
            <w:tr w14:paraId="36155E89">
              <w:tblPrEx>
                <w:tblBorders>
                  <w:top w:val="none" w:color="auto" w:sz="0" w:space="0"/>
                  <w:left w:val="none" w:color="auto" w:sz="0" w:space="0"/>
                  <w:bottom w:val="none" w:color="auto" w:sz="0" w:space="0"/>
                  <w:right w:val="none" w:color="auto" w:sz="0" w:space="0"/>
                  <w:insideH w:val="none" w:color="auto" w:sz="0" w:space="0"/>
                  <w:insideV w:val="none" w:color="auto" w:sz="0" w:space="0"/>
                </w:tblBorders>
                <w:shd w:val="clear" w:color="auto" w:fill="auto"/>
                <w:tblCellMar>
                  <w:top w:w="0" w:type="dxa"/>
                  <w:left w:w="108" w:type="dxa"/>
                  <w:bottom w:w="0" w:type="dxa"/>
                  <w:right w:w="108" w:type="dxa"/>
                </w:tblCellMar>
              </w:tblPrEx>
              <w:trPr>
                <w:trHeight w:val="1100" w:hRule="atLeast"/>
              </w:trPr>
              <w:tc>
                <w:tcPr>
                  <w:tcW w:w="240" w:type="pct"/>
                  <w:tcBorders>
                    <w:top w:val="single" w:color="000000" w:sz="4" w:space="0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shd w:val="clear" w:color="auto" w:fill="FFFFFF"/>
                  <w:noWrap/>
                  <w:vAlign w:val="center"/>
                </w:tcPr>
                <w:p w14:paraId="62A7C257">
                  <w:pPr>
                    <w:keepNext w:val="0"/>
                    <w:keepLines w:val="0"/>
                    <w:widowControl/>
                    <w:suppressLineNumbers w:val="0"/>
                    <w:jc w:val="center"/>
                    <w:textAlignment w:val="center"/>
                    <w:rPr>
                      <w:rFonts w:hint="eastAsia" w:ascii="宋体" w:hAnsi="宋体" w:eastAsia="宋体" w:cs="宋体"/>
                      <w:i w:val="0"/>
                      <w:iCs w:val="0"/>
                      <w:color w:val="000000"/>
                      <w:sz w:val="20"/>
                      <w:szCs w:val="20"/>
                      <w:highlight w:val="none"/>
                      <w:u w:val="none"/>
                    </w:rPr>
                  </w:pPr>
                  <w:r>
                    <w:rPr>
                      <w:rFonts w:hint="eastAsia" w:ascii="宋体" w:hAnsi="宋体" w:eastAsia="宋体" w:cs="宋体"/>
                      <w:i w:val="0"/>
                      <w:iCs w:val="0"/>
                      <w:color w:val="000000"/>
                      <w:kern w:val="0"/>
                      <w:sz w:val="20"/>
                      <w:szCs w:val="20"/>
                      <w:highlight w:val="none"/>
                      <w:u w:val="none"/>
                      <w:lang w:val="en-US" w:eastAsia="zh-CN" w:bidi="ar"/>
                    </w:rPr>
                    <w:t>6</w:t>
                  </w:r>
                </w:p>
              </w:tc>
              <w:tc>
                <w:tcPr>
                  <w:tcW w:w="521" w:type="pct"/>
                  <w:tcBorders>
                    <w:top w:val="single" w:color="000000" w:sz="4" w:space="0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shd w:val="clear" w:color="auto" w:fill="FFFFFF"/>
                  <w:noWrap/>
                  <w:vAlign w:val="center"/>
                </w:tcPr>
                <w:p w14:paraId="54E584FB">
                  <w:pPr>
                    <w:keepNext w:val="0"/>
                    <w:keepLines w:val="0"/>
                    <w:widowControl/>
                    <w:suppressLineNumbers w:val="0"/>
                    <w:jc w:val="center"/>
                    <w:textAlignment w:val="center"/>
                    <w:rPr>
                      <w:rFonts w:hint="eastAsia" w:ascii="宋体" w:hAnsi="宋体" w:eastAsia="宋体" w:cs="宋体"/>
                      <w:i w:val="0"/>
                      <w:iCs w:val="0"/>
                      <w:color w:val="000000"/>
                      <w:sz w:val="20"/>
                      <w:szCs w:val="20"/>
                      <w:highlight w:val="none"/>
                      <w:u w:val="none"/>
                    </w:rPr>
                  </w:pPr>
                  <w:r>
                    <w:rPr>
                      <w:rFonts w:hint="eastAsia" w:ascii="宋体" w:hAnsi="宋体" w:eastAsia="宋体" w:cs="宋体"/>
                      <w:i w:val="0"/>
                      <w:iCs w:val="0"/>
                      <w:color w:val="000000"/>
                      <w:kern w:val="0"/>
                      <w:sz w:val="20"/>
                      <w:szCs w:val="20"/>
                      <w:highlight w:val="none"/>
                      <w:u w:val="none"/>
                      <w:lang w:val="en-US" w:eastAsia="zh-CN" w:bidi="ar"/>
                    </w:rPr>
                    <w:t>东快速干道2号桥</w:t>
                  </w:r>
                </w:p>
              </w:tc>
              <w:tc>
                <w:tcPr>
                  <w:tcW w:w="1253" w:type="pct"/>
                  <w:tcBorders>
                    <w:top w:val="single" w:color="000000" w:sz="4" w:space="0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shd w:val="clear" w:color="auto" w:fill="FFFFFF"/>
                  <w:vAlign w:val="center"/>
                </w:tcPr>
                <w:p w14:paraId="282D9491">
                  <w:pPr>
                    <w:keepNext w:val="0"/>
                    <w:keepLines w:val="0"/>
                    <w:widowControl/>
                    <w:suppressLineNumbers w:val="0"/>
                    <w:jc w:val="left"/>
                    <w:textAlignment w:val="center"/>
                    <w:rPr>
                      <w:rFonts w:hint="eastAsia" w:ascii="宋体" w:hAnsi="宋体" w:eastAsia="宋体" w:cs="宋体"/>
                      <w:i w:val="0"/>
                      <w:iCs w:val="0"/>
                      <w:color w:val="000000"/>
                      <w:sz w:val="20"/>
                      <w:szCs w:val="20"/>
                      <w:highlight w:val="none"/>
                      <w:u w:val="none"/>
                    </w:rPr>
                  </w:pPr>
                  <w:r>
                    <w:rPr>
                      <w:rFonts w:hint="eastAsia" w:ascii="宋体" w:hAnsi="宋体" w:eastAsia="宋体" w:cs="宋体"/>
                      <w:i w:val="0"/>
                      <w:iCs w:val="0"/>
                      <w:color w:val="000000"/>
                      <w:kern w:val="0"/>
                      <w:sz w:val="20"/>
                      <w:szCs w:val="20"/>
                      <w:highlight w:val="none"/>
                      <w:u w:val="none"/>
                      <w:lang w:val="en-US" w:eastAsia="zh-CN" w:bidi="ar"/>
                    </w:rPr>
                    <w:t>分离式桥梁，单幅三车道</w:t>
                  </w:r>
                  <w:r>
                    <w:rPr>
                      <w:rFonts w:hint="eastAsia" w:ascii="宋体" w:hAnsi="宋体" w:eastAsia="宋体" w:cs="宋体"/>
                      <w:i w:val="0"/>
                      <w:iCs w:val="0"/>
                      <w:color w:val="000000"/>
                      <w:kern w:val="0"/>
                      <w:sz w:val="20"/>
                      <w:szCs w:val="20"/>
                      <w:highlight w:val="none"/>
                      <w:u w:val="none"/>
                      <w:lang w:val="en-US" w:eastAsia="zh-CN" w:bidi="ar"/>
                    </w:rPr>
                    <w:br w:type="textWrapping"/>
                  </w:r>
                  <w:r>
                    <w:rPr>
                      <w:rFonts w:hint="eastAsia" w:ascii="宋体" w:hAnsi="宋体" w:eastAsia="宋体" w:cs="宋体"/>
                      <w:i w:val="0"/>
                      <w:iCs w:val="0"/>
                      <w:color w:val="000000"/>
                      <w:kern w:val="0"/>
                      <w:sz w:val="20"/>
                      <w:szCs w:val="20"/>
                      <w:highlight w:val="none"/>
                      <w:u w:val="none"/>
                      <w:lang w:val="en-US" w:eastAsia="zh-CN" w:bidi="ar"/>
                    </w:rPr>
                    <w:t>1-8跨、13-28跨预制空心板梁；</w:t>
                  </w:r>
                  <w:r>
                    <w:rPr>
                      <w:rFonts w:hint="eastAsia" w:ascii="宋体" w:hAnsi="宋体" w:eastAsia="宋体" w:cs="宋体"/>
                      <w:i w:val="0"/>
                      <w:iCs w:val="0"/>
                      <w:color w:val="000000"/>
                      <w:kern w:val="0"/>
                      <w:sz w:val="20"/>
                      <w:szCs w:val="20"/>
                      <w:highlight w:val="none"/>
                      <w:u w:val="none"/>
                      <w:lang w:val="en-US" w:eastAsia="zh-CN" w:bidi="ar"/>
                    </w:rPr>
                    <w:br w:type="textWrapping"/>
                  </w:r>
                  <w:r>
                    <w:rPr>
                      <w:rFonts w:hint="eastAsia" w:ascii="宋体" w:hAnsi="宋体" w:eastAsia="宋体" w:cs="宋体"/>
                      <w:i w:val="0"/>
                      <w:iCs w:val="0"/>
                      <w:color w:val="000000"/>
                      <w:kern w:val="0"/>
                      <w:sz w:val="20"/>
                      <w:szCs w:val="20"/>
                      <w:highlight w:val="none"/>
                      <w:u w:val="none"/>
                      <w:lang w:val="en-US" w:eastAsia="zh-CN" w:bidi="ar"/>
                    </w:rPr>
                    <w:t>9-12跨（44+44+72+44）米变截面连续箱梁；</w:t>
                  </w:r>
                  <w:r>
                    <w:rPr>
                      <w:rFonts w:hint="eastAsia" w:ascii="宋体" w:hAnsi="宋体" w:eastAsia="宋体" w:cs="宋体"/>
                      <w:i w:val="0"/>
                      <w:iCs w:val="0"/>
                      <w:color w:val="000000"/>
                      <w:kern w:val="0"/>
                      <w:sz w:val="20"/>
                      <w:szCs w:val="20"/>
                      <w:highlight w:val="none"/>
                      <w:u w:val="none"/>
                      <w:lang w:val="en-US" w:eastAsia="zh-CN" w:bidi="ar"/>
                    </w:rPr>
                    <w:br w:type="textWrapping"/>
                  </w:r>
                  <w:r>
                    <w:rPr>
                      <w:rFonts w:hint="eastAsia" w:ascii="宋体" w:hAnsi="宋体" w:eastAsia="宋体" w:cs="宋体"/>
                      <w:i w:val="0"/>
                      <w:iCs w:val="0"/>
                      <w:color w:val="000000"/>
                      <w:kern w:val="0"/>
                      <w:sz w:val="20"/>
                      <w:szCs w:val="20"/>
                      <w:highlight w:val="none"/>
                      <w:u w:val="none"/>
                      <w:lang w:val="en-US" w:eastAsia="zh-CN" w:bidi="ar"/>
                    </w:rPr>
                    <w:t>29-44等截面现浇箱梁</w:t>
                  </w:r>
                </w:p>
              </w:tc>
              <w:tc>
                <w:tcPr>
                  <w:tcW w:w="396" w:type="pct"/>
                  <w:tcBorders>
                    <w:top w:val="single" w:color="000000" w:sz="4" w:space="0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shd w:val="clear" w:color="auto" w:fill="FFFFFF"/>
                  <w:vAlign w:val="center"/>
                </w:tcPr>
                <w:p w14:paraId="726E50F5">
                  <w:pPr>
                    <w:keepNext w:val="0"/>
                    <w:keepLines w:val="0"/>
                    <w:widowControl/>
                    <w:suppressLineNumbers w:val="0"/>
                    <w:jc w:val="center"/>
                    <w:textAlignment w:val="center"/>
                    <w:rPr>
                      <w:rFonts w:hint="eastAsia" w:ascii="宋体" w:hAnsi="宋体" w:eastAsia="宋体" w:cs="宋体"/>
                      <w:i w:val="0"/>
                      <w:iCs w:val="0"/>
                      <w:color w:val="000000"/>
                      <w:sz w:val="20"/>
                      <w:szCs w:val="20"/>
                      <w:highlight w:val="none"/>
                      <w:u w:val="none"/>
                    </w:rPr>
                  </w:pPr>
                  <w:r>
                    <w:rPr>
                      <w:rFonts w:hint="eastAsia" w:ascii="宋体" w:hAnsi="宋体" w:eastAsia="宋体" w:cs="宋体"/>
                      <w:i w:val="0"/>
                      <w:iCs w:val="0"/>
                      <w:color w:val="000000"/>
                      <w:kern w:val="0"/>
                      <w:sz w:val="20"/>
                      <w:szCs w:val="20"/>
                      <w:highlight w:val="none"/>
                      <w:u w:val="none"/>
                      <w:lang w:val="en-US" w:eastAsia="zh-CN" w:bidi="ar"/>
                    </w:rPr>
                    <w:t>常规定期检测</w:t>
                  </w:r>
                </w:p>
              </w:tc>
              <w:tc>
                <w:tcPr>
                  <w:tcW w:w="348" w:type="pct"/>
                  <w:tcBorders>
                    <w:top w:val="single" w:color="000000" w:sz="4" w:space="0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shd w:val="clear" w:color="auto" w:fill="FFFFFF"/>
                  <w:vAlign w:val="center"/>
                </w:tcPr>
                <w:p w14:paraId="46982F22">
                  <w:pPr>
                    <w:keepNext w:val="0"/>
                    <w:keepLines w:val="0"/>
                    <w:widowControl/>
                    <w:suppressLineNumbers w:val="0"/>
                    <w:jc w:val="center"/>
                    <w:textAlignment w:val="center"/>
                    <w:rPr>
                      <w:rFonts w:hint="eastAsia" w:ascii="宋体" w:hAnsi="宋体" w:eastAsia="宋体" w:cs="宋体"/>
                      <w:i w:val="0"/>
                      <w:iCs w:val="0"/>
                      <w:color w:val="000000"/>
                      <w:sz w:val="20"/>
                      <w:szCs w:val="20"/>
                      <w:highlight w:val="none"/>
                      <w:u w:val="none"/>
                    </w:rPr>
                  </w:pPr>
                  <w:r>
                    <w:rPr>
                      <w:rFonts w:hint="eastAsia" w:ascii="宋体" w:hAnsi="宋体" w:eastAsia="宋体" w:cs="宋体"/>
                      <w:i w:val="0"/>
                      <w:iCs w:val="0"/>
                      <w:color w:val="000000"/>
                      <w:kern w:val="0"/>
                      <w:sz w:val="20"/>
                      <w:szCs w:val="20"/>
                      <w:highlight w:val="none"/>
                      <w:u w:val="none"/>
                      <w:lang w:val="en-US" w:eastAsia="zh-CN" w:bidi="ar"/>
                    </w:rPr>
                    <w:t>II类Ⅰ等</w:t>
                  </w:r>
                </w:p>
              </w:tc>
              <w:tc>
                <w:tcPr>
                  <w:tcW w:w="296" w:type="pct"/>
                  <w:tcBorders>
                    <w:top w:val="single" w:color="000000" w:sz="4" w:space="0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shd w:val="clear" w:color="auto" w:fill="FFFFFF"/>
                  <w:noWrap/>
                  <w:vAlign w:val="center"/>
                </w:tcPr>
                <w:p w14:paraId="68B96565">
                  <w:pPr>
                    <w:keepNext w:val="0"/>
                    <w:keepLines w:val="0"/>
                    <w:widowControl/>
                    <w:suppressLineNumbers w:val="0"/>
                    <w:jc w:val="center"/>
                    <w:textAlignment w:val="center"/>
                    <w:rPr>
                      <w:rFonts w:hint="eastAsia" w:ascii="宋体" w:hAnsi="宋体" w:eastAsia="宋体" w:cs="宋体"/>
                      <w:i w:val="0"/>
                      <w:iCs w:val="0"/>
                      <w:color w:val="000000"/>
                      <w:sz w:val="20"/>
                      <w:szCs w:val="20"/>
                      <w:highlight w:val="none"/>
                      <w:u w:val="none"/>
                    </w:rPr>
                  </w:pPr>
                  <w:r>
                    <w:rPr>
                      <w:rFonts w:hint="eastAsia" w:ascii="宋体" w:hAnsi="宋体" w:eastAsia="宋体" w:cs="宋体"/>
                      <w:i w:val="0"/>
                      <w:iCs w:val="0"/>
                      <w:color w:val="000000"/>
                      <w:kern w:val="0"/>
                      <w:sz w:val="20"/>
                      <w:szCs w:val="20"/>
                      <w:highlight w:val="none"/>
                      <w:u w:val="none"/>
                      <w:lang w:val="en-US" w:eastAsia="zh-CN" w:bidi="ar"/>
                    </w:rPr>
                    <w:t>2035</w:t>
                  </w:r>
                </w:p>
              </w:tc>
              <w:tc>
                <w:tcPr>
                  <w:tcW w:w="340" w:type="pct"/>
                  <w:tcBorders>
                    <w:top w:val="single" w:color="000000" w:sz="4" w:space="0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shd w:val="clear" w:color="auto" w:fill="FFFFFF"/>
                  <w:vAlign w:val="center"/>
                </w:tcPr>
                <w:p w14:paraId="02DB64E8">
                  <w:pPr>
                    <w:keepNext w:val="0"/>
                    <w:keepLines w:val="0"/>
                    <w:widowControl/>
                    <w:suppressLineNumbers w:val="0"/>
                    <w:jc w:val="center"/>
                    <w:textAlignment w:val="center"/>
                    <w:rPr>
                      <w:rFonts w:hint="eastAsia" w:ascii="宋体" w:hAnsi="宋体" w:eastAsia="宋体" w:cs="宋体"/>
                      <w:i w:val="0"/>
                      <w:iCs w:val="0"/>
                      <w:color w:val="000000"/>
                      <w:sz w:val="20"/>
                      <w:szCs w:val="20"/>
                      <w:highlight w:val="none"/>
                      <w:u w:val="none"/>
                    </w:rPr>
                  </w:pPr>
                  <w:r>
                    <w:rPr>
                      <w:rFonts w:hint="eastAsia" w:ascii="宋体" w:hAnsi="宋体" w:eastAsia="宋体" w:cs="宋体"/>
                      <w:i w:val="0"/>
                      <w:iCs w:val="0"/>
                      <w:color w:val="000000"/>
                      <w:kern w:val="0"/>
                      <w:sz w:val="20"/>
                      <w:szCs w:val="20"/>
                      <w:highlight w:val="none"/>
                      <w:u w:val="none"/>
                      <w:lang w:val="en-US" w:eastAsia="zh-CN" w:bidi="ar"/>
                    </w:rPr>
                    <w:t>26466.18</w:t>
                  </w:r>
                </w:p>
              </w:tc>
              <w:tc>
                <w:tcPr>
                  <w:tcW w:w="1012" w:type="pct"/>
                  <w:vMerge w:val="continue"/>
                  <w:tcBorders>
                    <w:top w:val="single" w:color="000000" w:sz="4" w:space="0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shd w:val="clear" w:color="auto" w:fill="auto"/>
                  <w:vAlign w:val="center"/>
                </w:tcPr>
                <w:p w14:paraId="3A081E06">
                  <w:pPr>
                    <w:jc w:val="left"/>
                    <w:rPr>
                      <w:rFonts w:hint="eastAsia" w:ascii="宋体" w:hAnsi="宋体" w:eastAsia="宋体" w:cs="宋体"/>
                      <w:b/>
                      <w:bCs/>
                      <w:i w:val="0"/>
                      <w:iCs w:val="0"/>
                      <w:color w:val="000000"/>
                      <w:sz w:val="20"/>
                      <w:szCs w:val="20"/>
                      <w:highlight w:val="none"/>
                      <w:u w:val="none"/>
                    </w:rPr>
                  </w:pPr>
                </w:p>
              </w:tc>
              <w:tc>
                <w:tcPr>
                  <w:tcW w:w="590" w:type="pct"/>
                  <w:tcBorders>
                    <w:top w:val="single" w:color="000000" w:sz="4" w:space="0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shd w:val="clear" w:color="auto" w:fill="FFFFFF"/>
                  <w:vAlign w:val="center"/>
                </w:tcPr>
                <w:p w14:paraId="07F470A5">
                  <w:pPr>
                    <w:keepNext w:val="0"/>
                    <w:keepLines w:val="0"/>
                    <w:widowControl/>
                    <w:suppressLineNumbers w:val="0"/>
                    <w:jc w:val="left"/>
                    <w:textAlignment w:val="center"/>
                    <w:rPr>
                      <w:rFonts w:hint="eastAsia" w:ascii="宋体" w:hAnsi="宋体" w:eastAsia="宋体" w:cs="宋体"/>
                      <w:i w:val="0"/>
                      <w:iCs w:val="0"/>
                      <w:color w:val="000000"/>
                      <w:sz w:val="20"/>
                      <w:szCs w:val="20"/>
                      <w:highlight w:val="none"/>
                      <w:u w:val="none"/>
                    </w:rPr>
                  </w:pPr>
                  <w:r>
                    <w:rPr>
                      <w:rFonts w:hint="eastAsia" w:ascii="宋体" w:hAnsi="宋体" w:eastAsia="宋体" w:cs="宋体"/>
                      <w:i w:val="0"/>
                      <w:iCs w:val="0"/>
                      <w:color w:val="000000"/>
                      <w:kern w:val="0"/>
                      <w:sz w:val="20"/>
                      <w:szCs w:val="20"/>
                      <w:highlight w:val="none"/>
                      <w:u w:val="none"/>
                      <w:lang w:val="en-US" w:eastAsia="zh-CN" w:bidi="ar"/>
                    </w:rPr>
                    <w:t>上跨陇海铁路，分离式桥梁，单幅三车道1017.93米，需高空作业</w:t>
                  </w:r>
                </w:p>
              </w:tc>
            </w:tr>
            <w:tr w14:paraId="3EC51B76">
              <w:tblPrEx>
                <w:tblBorders>
                  <w:top w:val="none" w:color="auto" w:sz="0" w:space="0"/>
                  <w:left w:val="none" w:color="auto" w:sz="0" w:space="0"/>
                  <w:bottom w:val="none" w:color="auto" w:sz="0" w:space="0"/>
                  <w:right w:val="none" w:color="auto" w:sz="0" w:space="0"/>
                  <w:insideH w:val="none" w:color="auto" w:sz="0" w:space="0"/>
                  <w:insideV w:val="none" w:color="auto" w:sz="0" w:space="0"/>
                </w:tblBorders>
                <w:shd w:val="clear" w:color="auto" w:fill="auto"/>
                <w:tblCellMar>
                  <w:top w:w="0" w:type="dxa"/>
                  <w:left w:w="108" w:type="dxa"/>
                  <w:bottom w:w="0" w:type="dxa"/>
                  <w:right w:w="108" w:type="dxa"/>
                </w:tblCellMar>
              </w:tblPrEx>
              <w:trPr>
                <w:trHeight w:val="900" w:hRule="atLeast"/>
              </w:trPr>
              <w:tc>
                <w:tcPr>
                  <w:tcW w:w="240" w:type="pct"/>
                  <w:tcBorders>
                    <w:top w:val="single" w:color="000000" w:sz="4" w:space="0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shd w:val="clear" w:color="auto" w:fill="auto"/>
                  <w:noWrap/>
                  <w:vAlign w:val="center"/>
                </w:tcPr>
                <w:p w14:paraId="6EB131DE">
                  <w:pPr>
                    <w:keepNext w:val="0"/>
                    <w:keepLines w:val="0"/>
                    <w:widowControl/>
                    <w:suppressLineNumbers w:val="0"/>
                    <w:jc w:val="center"/>
                    <w:textAlignment w:val="center"/>
                    <w:rPr>
                      <w:rFonts w:hint="eastAsia" w:ascii="宋体" w:hAnsi="宋体" w:eastAsia="宋体" w:cs="宋体"/>
                      <w:i w:val="0"/>
                      <w:iCs w:val="0"/>
                      <w:color w:val="000000"/>
                      <w:sz w:val="20"/>
                      <w:szCs w:val="20"/>
                      <w:highlight w:val="none"/>
                      <w:u w:val="none"/>
                    </w:rPr>
                  </w:pPr>
                  <w:r>
                    <w:rPr>
                      <w:rFonts w:hint="eastAsia" w:ascii="宋体" w:hAnsi="宋体" w:eastAsia="宋体" w:cs="宋体"/>
                      <w:i w:val="0"/>
                      <w:iCs w:val="0"/>
                      <w:color w:val="000000"/>
                      <w:kern w:val="0"/>
                      <w:sz w:val="20"/>
                      <w:szCs w:val="20"/>
                      <w:highlight w:val="none"/>
                      <w:u w:val="none"/>
                      <w:lang w:val="en-US" w:eastAsia="zh-CN" w:bidi="ar"/>
                    </w:rPr>
                    <w:t>7</w:t>
                  </w:r>
                </w:p>
              </w:tc>
              <w:tc>
                <w:tcPr>
                  <w:tcW w:w="521" w:type="pct"/>
                  <w:tcBorders>
                    <w:top w:val="single" w:color="000000" w:sz="4" w:space="0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shd w:val="clear" w:color="auto" w:fill="auto"/>
                  <w:noWrap/>
                  <w:vAlign w:val="center"/>
                </w:tcPr>
                <w:p w14:paraId="1B7288EB">
                  <w:pPr>
                    <w:keepNext w:val="0"/>
                    <w:keepLines w:val="0"/>
                    <w:widowControl/>
                    <w:suppressLineNumbers w:val="0"/>
                    <w:jc w:val="center"/>
                    <w:textAlignment w:val="center"/>
                    <w:rPr>
                      <w:rFonts w:hint="eastAsia" w:ascii="宋体" w:hAnsi="宋体" w:eastAsia="宋体" w:cs="宋体"/>
                      <w:i w:val="0"/>
                      <w:iCs w:val="0"/>
                      <w:color w:val="000000"/>
                      <w:sz w:val="20"/>
                      <w:szCs w:val="20"/>
                      <w:highlight w:val="none"/>
                      <w:u w:val="none"/>
                    </w:rPr>
                  </w:pPr>
                  <w:r>
                    <w:rPr>
                      <w:rFonts w:hint="eastAsia" w:ascii="宋体" w:hAnsi="宋体" w:eastAsia="宋体" w:cs="宋体"/>
                      <w:i w:val="0"/>
                      <w:iCs w:val="0"/>
                      <w:color w:val="000000"/>
                      <w:kern w:val="0"/>
                      <w:sz w:val="20"/>
                      <w:szCs w:val="20"/>
                      <w:highlight w:val="none"/>
                      <w:u w:val="none"/>
                      <w:lang w:val="en-US" w:eastAsia="zh-CN" w:bidi="ar"/>
                    </w:rPr>
                    <w:t>东快速干道3号桥</w:t>
                  </w:r>
                </w:p>
              </w:tc>
              <w:tc>
                <w:tcPr>
                  <w:tcW w:w="1253" w:type="pct"/>
                  <w:tcBorders>
                    <w:top w:val="single" w:color="000000" w:sz="4" w:space="0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shd w:val="clear" w:color="auto" w:fill="auto"/>
                  <w:vAlign w:val="center"/>
                </w:tcPr>
                <w:p w14:paraId="540132CB">
                  <w:pPr>
                    <w:keepNext w:val="0"/>
                    <w:keepLines w:val="0"/>
                    <w:widowControl/>
                    <w:suppressLineNumbers w:val="0"/>
                    <w:jc w:val="left"/>
                    <w:textAlignment w:val="center"/>
                    <w:rPr>
                      <w:rFonts w:hint="eastAsia" w:ascii="宋体" w:hAnsi="宋体" w:eastAsia="宋体" w:cs="宋体"/>
                      <w:i w:val="0"/>
                      <w:iCs w:val="0"/>
                      <w:color w:val="000000"/>
                      <w:sz w:val="20"/>
                      <w:szCs w:val="20"/>
                      <w:highlight w:val="none"/>
                      <w:u w:val="none"/>
                    </w:rPr>
                  </w:pPr>
                  <w:r>
                    <w:rPr>
                      <w:rFonts w:hint="eastAsia" w:ascii="宋体" w:hAnsi="宋体" w:eastAsia="宋体" w:cs="宋体"/>
                      <w:i w:val="0"/>
                      <w:iCs w:val="0"/>
                      <w:color w:val="000000"/>
                      <w:kern w:val="0"/>
                      <w:sz w:val="20"/>
                      <w:szCs w:val="20"/>
                      <w:highlight w:val="none"/>
                      <w:u w:val="none"/>
                      <w:lang w:val="en-US" w:eastAsia="zh-CN" w:bidi="ar"/>
                    </w:rPr>
                    <w:t>分离式桥梁，单幅三车道</w:t>
                  </w:r>
                  <w:r>
                    <w:rPr>
                      <w:rFonts w:hint="eastAsia" w:ascii="宋体" w:hAnsi="宋体" w:eastAsia="宋体" w:cs="宋体"/>
                      <w:i w:val="0"/>
                      <w:iCs w:val="0"/>
                      <w:color w:val="000000"/>
                      <w:kern w:val="0"/>
                      <w:sz w:val="20"/>
                      <w:szCs w:val="20"/>
                      <w:highlight w:val="none"/>
                      <w:u w:val="none"/>
                      <w:lang w:val="en-US" w:eastAsia="zh-CN" w:bidi="ar"/>
                    </w:rPr>
                    <w:br w:type="textWrapping"/>
                  </w:r>
                  <w:r>
                    <w:rPr>
                      <w:rFonts w:hint="eastAsia" w:ascii="宋体" w:hAnsi="宋体" w:eastAsia="宋体" w:cs="宋体"/>
                      <w:i w:val="0"/>
                      <w:iCs w:val="0"/>
                      <w:color w:val="000000"/>
                      <w:kern w:val="0"/>
                      <w:sz w:val="20"/>
                      <w:szCs w:val="20"/>
                      <w:highlight w:val="none"/>
                      <w:u w:val="none"/>
                      <w:lang w:val="en-US" w:eastAsia="zh-CN" w:bidi="ar"/>
                    </w:rPr>
                    <w:t>1-6跨、8-12跨现浇板梁；</w:t>
                  </w:r>
                  <w:r>
                    <w:rPr>
                      <w:rFonts w:hint="eastAsia" w:ascii="宋体" w:hAnsi="宋体" w:eastAsia="宋体" w:cs="宋体"/>
                      <w:i w:val="0"/>
                      <w:iCs w:val="0"/>
                      <w:color w:val="000000"/>
                      <w:kern w:val="0"/>
                      <w:sz w:val="20"/>
                      <w:szCs w:val="20"/>
                      <w:highlight w:val="none"/>
                      <w:u w:val="none"/>
                      <w:lang w:val="en-US" w:eastAsia="zh-CN" w:bidi="ar"/>
                    </w:rPr>
                    <w:br w:type="textWrapping"/>
                  </w:r>
                  <w:r>
                    <w:rPr>
                      <w:rFonts w:hint="eastAsia" w:ascii="宋体" w:hAnsi="宋体" w:eastAsia="宋体" w:cs="宋体"/>
                      <w:i w:val="0"/>
                      <w:iCs w:val="0"/>
                      <w:color w:val="000000"/>
                      <w:kern w:val="0"/>
                      <w:sz w:val="20"/>
                      <w:szCs w:val="20"/>
                      <w:highlight w:val="none"/>
                      <w:u w:val="none"/>
                      <w:lang w:val="en-US" w:eastAsia="zh-CN" w:bidi="ar"/>
                    </w:rPr>
                    <w:t>7跨钢箱梁</w:t>
                  </w:r>
                </w:p>
              </w:tc>
              <w:tc>
                <w:tcPr>
                  <w:tcW w:w="396" w:type="pct"/>
                  <w:tcBorders>
                    <w:top w:val="single" w:color="000000" w:sz="4" w:space="0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shd w:val="clear" w:color="auto" w:fill="auto"/>
                  <w:vAlign w:val="center"/>
                </w:tcPr>
                <w:p w14:paraId="47FBFE9C">
                  <w:pPr>
                    <w:keepNext w:val="0"/>
                    <w:keepLines w:val="0"/>
                    <w:widowControl/>
                    <w:suppressLineNumbers w:val="0"/>
                    <w:jc w:val="center"/>
                    <w:textAlignment w:val="center"/>
                    <w:rPr>
                      <w:rFonts w:hint="eastAsia" w:ascii="宋体" w:hAnsi="宋体" w:eastAsia="宋体" w:cs="宋体"/>
                      <w:i w:val="0"/>
                      <w:iCs w:val="0"/>
                      <w:color w:val="000000"/>
                      <w:sz w:val="20"/>
                      <w:szCs w:val="20"/>
                      <w:highlight w:val="none"/>
                      <w:u w:val="none"/>
                    </w:rPr>
                  </w:pPr>
                  <w:r>
                    <w:rPr>
                      <w:rFonts w:hint="eastAsia" w:ascii="宋体" w:hAnsi="宋体" w:eastAsia="宋体" w:cs="宋体"/>
                      <w:i w:val="0"/>
                      <w:iCs w:val="0"/>
                      <w:color w:val="000000"/>
                      <w:kern w:val="0"/>
                      <w:sz w:val="20"/>
                      <w:szCs w:val="20"/>
                      <w:highlight w:val="none"/>
                      <w:u w:val="none"/>
                      <w:lang w:val="en-US" w:eastAsia="zh-CN" w:bidi="ar"/>
                    </w:rPr>
                    <w:t>常规定期检测</w:t>
                  </w:r>
                </w:p>
              </w:tc>
              <w:tc>
                <w:tcPr>
                  <w:tcW w:w="348" w:type="pct"/>
                  <w:tcBorders>
                    <w:top w:val="single" w:color="000000" w:sz="4" w:space="0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shd w:val="clear" w:color="auto" w:fill="auto"/>
                  <w:vAlign w:val="center"/>
                </w:tcPr>
                <w:p w14:paraId="0E639806">
                  <w:pPr>
                    <w:keepNext w:val="0"/>
                    <w:keepLines w:val="0"/>
                    <w:widowControl/>
                    <w:suppressLineNumbers w:val="0"/>
                    <w:jc w:val="center"/>
                    <w:textAlignment w:val="center"/>
                    <w:rPr>
                      <w:rFonts w:hint="eastAsia" w:ascii="宋体" w:hAnsi="宋体" w:eastAsia="宋体" w:cs="宋体"/>
                      <w:i w:val="0"/>
                      <w:iCs w:val="0"/>
                      <w:color w:val="000000"/>
                      <w:sz w:val="20"/>
                      <w:szCs w:val="20"/>
                      <w:highlight w:val="none"/>
                      <w:u w:val="none"/>
                    </w:rPr>
                  </w:pPr>
                  <w:r>
                    <w:rPr>
                      <w:rFonts w:hint="eastAsia" w:ascii="宋体" w:hAnsi="宋体" w:eastAsia="宋体" w:cs="宋体"/>
                      <w:i w:val="0"/>
                      <w:iCs w:val="0"/>
                      <w:color w:val="000000"/>
                      <w:kern w:val="0"/>
                      <w:sz w:val="20"/>
                      <w:szCs w:val="20"/>
                      <w:highlight w:val="none"/>
                      <w:u w:val="none"/>
                      <w:lang w:val="en-US" w:eastAsia="zh-CN" w:bidi="ar"/>
                    </w:rPr>
                    <w:t>II类Ⅰ等</w:t>
                  </w:r>
                </w:p>
              </w:tc>
              <w:tc>
                <w:tcPr>
                  <w:tcW w:w="296" w:type="pct"/>
                  <w:tcBorders>
                    <w:top w:val="single" w:color="000000" w:sz="4" w:space="0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shd w:val="clear" w:color="auto" w:fill="auto"/>
                  <w:noWrap/>
                  <w:vAlign w:val="center"/>
                </w:tcPr>
                <w:p w14:paraId="31574B24">
                  <w:pPr>
                    <w:keepNext w:val="0"/>
                    <w:keepLines w:val="0"/>
                    <w:widowControl/>
                    <w:suppressLineNumbers w:val="0"/>
                    <w:jc w:val="center"/>
                    <w:textAlignment w:val="center"/>
                    <w:rPr>
                      <w:rFonts w:hint="eastAsia" w:ascii="宋体" w:hAnsi="宋体" w:eastAsia="宋体" w:cs="宋体"/>
                      <w:i w:val="0"/>
                      <w:iCs w:val="0"/>
                      <w:color w:val="000000"/>
                      <w:sz w:val="20"/>
                      <w:szCs w:val="20"/>
                      <w:highlight w:val="none"/>
                      <w:u w:val="none"/>
                    </w:rPr>
                  </w:pPr>
                  <w:r>
                    <w:rPr>
                      <w:rFonts w:hint="eastAsia" w:ascii="宋体" w:hAnsi="宋体" w:eastAsia="宋体" w:cs="宋体"/>
                      <w:i w:val="0"/>
                      <w:iCs w:val="0"/>
                      <w:color w:val="000000"/>
                      <w:kern w:val="0"/>
                      <w:sz w:val="20"/>
                      <w:szCs w:val="20"/>
                      <w:highlight w:val="none"/>
                      <w:u w:val="none"/>
                      <w:lang w:val="en-US" w:eastAsia="zh-CN" w:bidi="ar"/>
                    </w:rPr>
                    <w:t>502</w:t>
                  </w:r>
                </w:p>
              </w:tc>
              <w:tc>
                <w:tcPr>
                  <w:tcW w:w="340" w:type="pct"/>
                  <w:tcBorders>
                    <w:top w:val="single" w:color="000000" w:sz="4" w:space="0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shd w:val="clear" w:color="auto" w:fill="FFFFFF"/>
                  <w:vAlign w:val="center"/>
                </w:tcPr>
                <w:p w14:paraId="36EF253C">
                  <w:pPr>
                    <w:keepNext w:val="0"/>
                    <w:keepLines w:val="0"/>
                    <w:widowControl/>
                    <w:suppressLineNumbers w:val="0"/>
                    <w:jc w:val="center"/>
                    <w:textAlignment w:val="center"/>
                    <w:rPr>
                      <w:rFonts w:hint="eastAsia" w:ascii="宋体" w:hAnsi="宋体" w:eastAsia="宋体" w:cs="宋体"/>
                      <w:i w:val="0"/>
                      <w:iCs w:val="0"/>
                      <w:color w:val="000000"/>
                      <w:sz w:val="20"/>
                      <w:szCs w:val="20"/>
                      <w:highlight w:val="none"/>
                      <w:u w:val="none"/>
                    </w:rPr>
                  </w:pPr>
                  <w:r>
                    <w:rPr>
                      <w:rFonts w:hint="eastAsia" w:ascii="宋体" w:hAnsi="宋体" w:eastAsia="宋体" w:cs="宋体"/>
                      <w:i w:val="0"/>
                      <w:iCs w:val="0"/>
                      <w:color w:val="000000"/>
                      <w:kern w:val="0"/>
                      <w:sz w:val="20"/>
                      <w:szCs w:val="20"/>
                      <w:highlight w:val="none"/>
                      <w:u w:val="none"/>
                      <w:lang w:val="en-US" w:eastAsia="zh-CN" w:bidi="ar"/>
                    </w:rPr>
                    <w:t>6547.84</w:t>
                  </w:r>
                </w:p>
              </w:tc>
              <w:tc>
                <w:tcPr>
                  <w:tcW w:w="1012" w:type="pct"/>
                  <w:vMerge w:val="continue"/>
                  <w:tcBorders>
                    <w:top w:val="single" w:color="000000" w:sz="4" w:space="0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shd w:val="clear" w:color="auto" w:fill="auto"/>
                  <w:vAlign w:val="center"/>
                </w:tcPr>
                <w:p w14:paraId="7F26B501">
                  <w:pPr>
                    <w:jc w:val="left"/>
                    <w:rPr>
                      <w:rFonts w:hint="eastAsia" w:ascii="宋体" w:hAnsi="宋体" w:eastAsia="宋体" w:cs="宋体"/>
                      <w:b/>
                      <w:bCs/>
                      <w:i w:val="0"/>
                      <w:iCs w:val="0"/>
                      <w:color w:val="000000"/>
                      <w:sz w:val="20"/>
                      <w:szCs w:val="20"/>
                      <w:highlight w:val="none"/>
                      <w:u w:val="none"/>
                    </w:rPr>
                  </w:pPr>
                </w:p>
              </w:tc>
              <w:tc>
                <w:tcPr>
                  <w:tcW w:w="590" w:type="pct"/>
                  <w:tcBorders>
                    <w:top w:val="single" w:color="000000" w:sz="4" w:space="0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shd w:val="clear" w:color="auto" w:fill="auto"/>
                  <w:vAlign w:val="center"/>
                </w:tcPr>
                <w:p w14:paraId="54CF05F2">
                  <w:pPr>
                    <w:keepNext w:val="0"/>
                    <w:keepLines w:val="0"/>
                    <w:widowControl/>
                    <w:suppressLineNumbers w:val="0"/>
                    <w:jc w:val="left"/>
                    <w:textAlignment w:val="center"/>
                    <w:rPr>
                      <w:rFonts w:hint="eastAsia" w:ascii="宋体" w:hAnsi="宋体" w:eastAsia="宋体" w:cs="宋体"/>
                      <w:i w:val="0"/>
                      <w:iCs w:val="0"/>
                      <w:color w:val="000000"/>
                      <w:sz w:val="20"/>
                      <w:szCs w:val="20"/>
                      <w:highlight w:val="none"/>
                      <w:u w:val="none"/>
                    </w:rPr>
                  </w:pPr>
                  <w:r>
                    <w:rPr>
                      <w:rFonts w:hint="eastAsia" w:ascii="宋体" w:hAnsi="宋体" w:eastAsia="宋体" w:cs="宋体"/>
                      <w:i w:val="0"/>
                      <w:iCs w:val="0"/>
                      <w:color w:val="000000"/>
                      <w:kern w:val="0"/>
                      <w:sz w:val="20"/>
                      <w:szCs w:val="20"/>
                      <w:highlight w:val="none"/>
                      <w:u w:val="none"/>
                      <w:lang w:val="en-US" w:eastAsia="zh-CN" w:bidi="ar"/>
                    </w:rPr>
                    <w:t>分离式桥梁，单幅三车道251米，需高空作业</w:t>
                  </w:r>
                </w:p>
              </w:tc>
            </w:tr>
          </w:tbl>
          <w:p w14:paraId="2B7BF8D5">
            <w:pPr>
              <w:rPr>
                <w:highlight w:val="none"/>
              </w:rPr>
            </w:pPr>
          </w:p>
        </w:tc>
      </w:tr>
    </w:tbl>
    <w:p w14:paraId="333C4CBF"/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86"/>
    <w:family w:val="auto"/>
    <w:pitch w:val="default"/>
    <w:sig w:usb0="E0002EFF" w:usb1="C000785B" w:usb2="00000009" w:usb3="00000000" w:csb0="400001FF" w:csb1="FFFF0000"/>
  </w:font>
  <w:font w:name="宋体">
    <w:panose1 w:val="02010600030101010101"/>
    <w:charset w:val="7A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10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00000"/>
    <w:rsid w:val="2A7677F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mc:AlternateContent>
    <mc:Choice Requires="wpsCustomData">
      <wpsCustomData:typoFeatureVersion val="1"/>
    </mc:Choice>
  </mc:AlternateConten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character" w:default="1" w:styleId="3">
    <w:name w:val="Default Paragraph Font"/>
    <w:semiHidden/>
    <w:uiPriority w:val="0"/>
  </w:style>
  <w:style w:type="table" w:default="1" w:styleId="2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4">
    <w:name w:val="null3"/>
    <w:hidden/>
    <w:qFormat/>
    <w:uiPriority w:val="0"/>
    <w:rPr>
      <w:rFonts w:hint="eastAsia" w:asciiTheme="minorHAnsi" w:hAnsiTheme="minorHAnsi" w:eastAsiaTheme="minorEastAsia" w:cstheme="minorBidi"/>
      <w:lang w:val="en-US" w:eastAsia="zh-Hans"/>
    </w:rPr>
  </w:style>
  <w:style w:type="character" w:customStyle="1" w:styleId="5">
    <w:name w:val="font41"/>
    <w:basedOn w:val="3"/>
    <w:qFormat/>
    <w:uiPriority w:val="0"/>
    <w:rPr>
      <w:rFonts w:hint="eastAsia" w:ascii="宋体" w:hAnsi="宋体" w:eastAsia="宋体" w:cs="宋体"/>
      <w:b/>
      <w:bCs/>
      <w:color w:val="000000"/>
      <w:sz w:val="20"/>
      <w:szCs w:val="20"/>
      <w:u w:val="none"/>
    </w:rPr>
  </w:style>
  <w:style w:type="character" w:customStyle="1" w:styleId="6">
    <w:name w:val="font31"/>
    <w:basedOn w:val="3"/>
    <w:qFormat/>
    <w:uiPriority w:val="0"/>
    <w:rPr>
      <w:rFonts w:hint="eastAsia" w:ascii="宋体" w:hAnsi="宋体" w:eastAsia="宋体" w:cs="宋体"/>
      <w:color w:val="000000"/>
      <w:sz w:val="20"/>
      <w:szCs w:val="20"/>
      <w:u w:val="none"/>
    </w:rPr>
  </w:style>
  <w:style w:type="character" w:customStyle="1" w:styleId="7">
    <w:name w:val="font21"/>
    <w:basedOn w:val="3"/>
    <w:qFormat/>
    <w:uiPriority w:val="0"/>
    <w:rPr>
      <w:rFonts w:hint="eastAsia" w:ascii="宋体" w:hAnsi="宋体" w:eastAsia="宋体" w:cs="宋体"/>
      <w:color w:val="000000"/>
      <w:sz w:val="20"/>
      <w:szCs w:val="20"/>
      <w:u w:val="none"/>
    </w:rPr>
  </w:style>
  <w:style w:type="character" w:customStyle="1" w:styleId="8">
    <w:name w:val="font51"/>
    <w:basedOn w:val="3"/>
    <w:qFormat/>
    <w:uiPriority w:val="0"/>
    <w:rPr>
      <w:rFonts w:ascii="Calibri" w:hAnsi="Calibri" w:cs="Calibri"/>
      <w:color w:val="000000"/>
      <w:sz w:val="20"/>
      <w:szCs w:val="20"/>
      <w:u w:val="none"/>
    </w:rPr>
  </w:style>
</w:styles>
</file>

<file path=word/_rels/document.xml.rels><?xml version="1.0" encoding="UTF-8" standalone="yes"?>
<Relationships xmlns="http://schemas.openxmlformats.org/package/2006/relationships"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WPS">
  <a:themeElements>
    <a:clrScheme name="WPS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874CB"/>
      </a:accent1>
      <a:accent2>
        <a:srgbClr val="EE822F"/>
      </a:accent2>
      <a:accent3>
        <a:srgbClr val="F2BA02"/>
      </a:accent3>
      <a:accent4>
        <a:srgbClr val="75BD42"/>
      </a:accent4>
      <a:accent5>
        <a:srgbClr val="30C0B4"/>
      </a:accent5>
      <a:accent6>
        <a:srgbClr val="E54C5E"/>
      </a:accent6>
      <a:hlink>
        <a:srgbClr val="0026E5"/>
      </a:hlink>
      <a:folHlink>
        <a:srgbClr val="7E1FAD"/>
      </a:folHlink>
    </a:clrScheme>
    <a:fontScheme name="WPS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WPS">
      <a:fillStyleLst>
        <a:solidFill>
          <a:schemeClr val="phClr"/>
        </a:solidFill>
        <a:gradFill>
          <a:gsLst>
            <a:gs pos="0">
              <a:schemeClr val="phClr">
                <a:lumOff val="17500"/>
              </a:schemeClr>
            </a:gs>
            <a:gs pos="100000">
              <a:schemeClr val="phClr"/>
            </a:gs>
          </a:gsLst>
          <a:lin ang="2700000" scaled="0"/>
        </a:gradFill>
        <a:gradFill>
          <a:gsLst>
            <a:gs pos="0">
              <a:schemeClr val="phClr">
                <a:hueOff val="-2520000"/>
              </a:schemeClr>
            </a:gs>
            <a:gs pos="100000">
              <a:schemeClr val="phClr"/>
            </a:gs>
          </a:gsLst>
          <a:lin ang="27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gradFill>
            <a:gsLst>
              <a:gs pos="0">
                <a:schemeClr val="phClr">
                  <a:hueOff val="-4200000"/>
                </a:schemeClr>
              </a:gs>
              <a:gs pos="100000">
                <a:schemeClr val="phClr"/>
              </a:gs>
            </a:gsLst>
            <a:lin ang="2700000" scaled="1"/>
          </a:gradFill>
          <a:prstDash val="solid"/>
          <a:miter lim="800000"/>
        </a:ln>
      </a:lnStyleLst>
      <a:effectStyleLst>
        <a:effectStyle>
          <a:effectLst>
            <a:outerShdw blurRad="101600" dist="50800" dir="5400000" algn="ctr" rotWithShape="0">
              <a:schemeClr val="phClr">
                <a:alpha val="60000"/>
              </a:schemeClr>
            </a:outerShdw>
          </a:effectLst>
        </a:effectStyle>
        <a:effectStyle>
          <a:effectLst>
            <a:reflection stA="50000" endA="300" endPos="40000" dist="25400" dir="5400000" sy="-100000" algn="bl" rotWithShape="0"/>
          </a:effectLst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6</Pages>
  <Words>0</Words>
  <Characters>0</Characters>
  <Lines>0</Lines>
  <Paragraphs>0</Paragraphs>
  <TotalTime>1</TotalTime>
  <ScaleCrop>false</ScaleCrop>
  <LinksUpToDate>false</LinksUpToDate>
  <CharactersWithSpaces>0</CharactersWithSpaces>
  <Application>WPS Office_12.1.0.26375_F1E327BC-269C-435d-A152-05C5408002CA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2026-06-08T06:44:15Z</dcterms:created>
  <dc:creator>Administrator</dc:creator>
  <cp:lastModifiedBy>孙敬腾</cp:lastModifiedBy>
  <dcterms:modified xsi:type="dcterms:W3CDTF">2026-06-08T06:45:29Z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2052-12.1.0.26375</vt:lpwstr>
  </property>
  <property fmtid="{D5CDD505-2E9C-101B-9397-08002B2CF9AE}" pid="3" name="KSOTemplateDocerSaveRecord">
    <vt:lpwstr>eyJoZGlkIjoiNjIxMDI2NjM3MzgyYzQ0NTJmZDVhODRjOWE1OTQyYWMiLCJ1c2VySWQiOiI1MTUxOTcyNzMifQ==</vt:lpwstr>
  </property>
  <property fmtid="{D5CDD505-2E9C-101B-9397-08002B2CF9AE}" pid="4" name="ICV">
    <vt:lpwstr>76067CA8D70C4322A4DB955CC198F91E_12</vt:lpwstr>
  </property>
</Properties>
</file>