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版本号：YD2026-01220260806001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鄠邑区历史流出耕地过渡期恢复方案摸底调查服务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YD2026-012</w:t>
      </w:r>
      <w:r>
        <w:br/>
      </w:r>
      <w:r>
        <w:br/>
      </w:r>
      <w:r>
        <w:br/>
      </w:r>
    </w:p>
    <w:p>
      <w:pPr>
        <w:pStyle w:val="null3"/>
        <w:jc w:val="center"/>
        <w:outlineLvl w:val="2"/>
      </w:pPr>
      <w:r>
        <w:rPr>
          <w:rFonts w:ascii="仿宋_GB2312" w:hAnsi="仿宋_GB2312" w:cs="仿宋_GB2312" w:eastAsia="仿宋_GB2312"/>
          <w:sz w:val="28"/>
          <w:b/>
        </w:rPr>
        <w:t>西安市自然资源和规划局鄠邑分局</w:t>
      </w:r>
    </w:p>
    <w:p>
      <w:pPr>
        <w:pStyle w:val="null3"/>
        <w:jc w:val="center"/>
        <w:outlineLvl w:val="2"/>
      </w:pPr>
      <w:r>
        <w:rPr>
          <w:rFonts w:ascii="仿宋_GB2312" w:hAnsi="仿宋_GB2312" w:cs="仿宋_GB2312" w:eastAsia="仿宋_GB2312"/>
          <w:sz w:val="28"/>
          <w:b/>
        </w:rPr>
        <w:t>陕西云鼎项目管理有限责任公司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陕西云鼎项目管理有限责任公司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西安市自然资源和规划局鄠邑分局</w:t>
      </w:r>
      <w:r>
        <w:rPr>
          <w:rFonts w:ascii="仿宋_GB2312" w:hAnsi="仿宋_GB2312" w:cs="仿宋_GB2312" w:eastAsia="仿宋_GB2312"/>
        </w:rPr>
        <w:t>委托，拟对</w:t>
      </w:r>
      <w:r>
        <w:rPr>
          <w:rFonts w:ascii="仿宋_GB2312" w:hAnsi="仿宋_GB2312" w:cs="仿宋_GB2312" w:eastAsia="仿宋_GB2312"/>
        </w:rPr>
        <w:t>鄠邑区历史流出耕地过渡期恢复方案摸底调查服务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鄠邑区历史流出耕地过渡期恢复方案摸底调查服务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依据自然资源部、国家林业和草原局相关文件及陕西省自然资源厅《关于开展历史流出耕地过渡期恢复方案摸底调查工作的通知》要求，开展鄠邑区历史流出耕地过渡期恢复方案摸底调查工作。需完成底图完善、外业核实、分类处置、成果编制、数据质检汇交等全流程工作，保障文、数、库一致，满足陕西省耕地“数量、质量、生态三位一体保护”试点工作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采购包1（鄠邑区历史流出耕地过渡期恢复方案摸底调查服务）：属于专门面向中小企业采购。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1、法定代表人直接参与磋商的，须出具法定代表人证明（附法人身份证 复印件）；法定代表人授权代表参与磋商的，须出具法人授权委托书（附法人及授权代表身份证复印件)：法定代表人直接参与磋商的，须出具法定代表人证明（附法人身份证 复印件）；法定代表人授权代表参与磋商的，须出具法人授权委托书（附法人及授权代表身份证复印件)。供应商需在项目电子化交易系统中按要求上传相应证明文件并进行电子签章。</w:t>
      </w:r>
    </w:p>
    <w:p>
      <w:pPr>
        <w:pStyle w:val="null3"/>
      </w:pPr>
      <w:r>
        <w:rPr>
          <w:rFonts w:ascii="仿宋_GB2312" w:hAnsi="仿宋_GB2312" w:cs="仿宋_GB2312" w:eastAsia="仿宋_GB2312"/>
        </w:rPr>
        <w:t>2、供应商具有行政主管部门颁发的测绘乙级（含乙级）及以上资质（含界线与不动产测绘、地理信息系统工程专业范围）：供应商具有行政主管部门颁发的测绘乙级（含乙级）及以上资质（含界线与不动产测绘、地理信息系统工程专业范围）。供应商需在项目电子化交易系统中按要求上传相应证明文件并进行电子签章。</w:t>
      </w:r>
    </w:p>
    <w:p>
      <w:pPr>
        <w:pStyle w:val="null3"/>
      </w:pPr>
      <w:r>
        <w:rPr>
          <w:rFonts w:ascii="仿宋_GB2312" w:hAnsi="仿宋_GB2312" w:cs="仿宋_GB2312" w:eastAsia="仿宋_GB2312"/>
        </w:rPr>
        <w:t>3、项目负责人具有有效的注册测绘师执业资格或相关专业中级及以上技术职称，并提供本单位社保缴纳证明：项目负责人具有有效的注册测绘师执业资格或相关专业中级及以上技术职称，并提供本单位社保缴纳证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西安市自然资源和规划局鄠邑分局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南环中路3号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西安市自然资源和规划局鄠邑分局经办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13720655222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陕西云鼎项目管理有限责任公司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陕西省西安市碑林区陕西省西安市碑林区南二环西段21号华融国际商务大厦A座18层03室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范文辉、古德隆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13892888735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采购包1：453,500.00元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国家发展和改革委员会办公厅关于招标代理服务收费有关问题的通知》（发改办价格〔2003〕857号）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西安市自然资源和规划局鄠邑分局</w:t>
      </w:r>
      <w:r>
        <w:rPr>
          <w:rFonts w:ascii="仿宋_GB2312" w:hAnsi="仿宋_GB2312" w:cs="仿宋_GB2312" w:eastAsia="仿宋_GB2312"/>
        </w:rPr>
        <w:t>和</w:t>
      </w:r>
      <w:r>
        <w:rPr>
          <w:rFonts w:ascii="仿宋_GB2312" w:hAnsi="仿宋_GB2312" w:cs="仿宋_GB2312" w:eastAsia="仿宋_GB2312"/>
        </w:rPr>
        <w:t>陕西云鼎项目管理有限责任公司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西安市自然资源和规划局鄠邑分局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陕西云鼎项目管理有限责任公司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西安市自然资源和规划局鄠邑分局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陕西云鼎项目管理有限责任公司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联系人：古德隆</w:t>
      </w:r>
    </w:p>
    <w:p>
      <w:pPr>
        <w:pStyle w:val="null3"/>
      </w:pPr>
      <w:r>
        <w:rPr>
          <w:rFonts w:ascii="仿宋_GB2312" w:hAnsi="仿宋_GB2312" w:cs="仿宋_GB2312" w:eastAsia="仿宋_GB2312"/>
        </w:rPr>
        <w:t>联系电话：13759999744</w:t>
      </w:r>
    </w:p>
    <w:p>
      <w:pPr>
        <w:pStyle w:val="null3"/>
      </w:pPr>
      <w:r>
        <w:rPr>
          <w:rFonts w:ascii="仿宋_GB2312" w:hAnsi="仿宋_GB2312" w:cs="仿宋_GB2312" w:eastAsia="仿宋_GB2312"/>
        </w:rPr>
        <w:t>地址：陕西省西安市碑林区陕西省西安市碑林区南二环西段21号华融国际商务大厦A座18层03室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依据自然资源部、国家林业和草原局相关文件及陕西省自然资源厅《关于开展历史流出耕地过渡期恢复方案摸底调查工作的通知》要求，开展鄠邑区历史流出耕地过渡期恢复方案摸底调查工作。需完成底图完善、外业核实、分类处置、成果编制、数据质检汇交等全流程工作，保障文、数、库一致，满足陕西省耕地“数量、质量、生态三位一体保护”试点工作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453,500.00</w:t>
      </w:r>
    </w:p>
    <w:p>
      <w:pPr>
        <w:pStyle w:val="null3"/>
      </w:pPr>
      <w:r>
        <w:rPr>
          <w:rFonts w:ascii="仿宋_GB2312" w:hAnsi="仿宋_GB2312" w:cs="仿宋_GB2312" w:eastAsia="仿宋_GB2312"/>
        </w:rPr>
        <w:t>采购包最高限价（元）: 453,500.00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开展鄠邑区历史流出耕地过渡期恢复方案摸底调查工作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453,500.00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标的名称：开展鄠邑区历史流出耕地过渡期恢复方案摸底调查工作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本项目依据自然资源部、国家林业和草原局相关文件及陕西省自然资源厅《关于开展历史流出耕地过渡期恢复方案摸底调查工作的通知》要求，开展鄠邑区历史流出耕地过渡期恢复方案摸底调查工作。需完成底图完善、外业核实、分类处置、成果编制、数据质检汇交等全流程工作，保障文、数、库一致，满足陕西省耕地</w:t>
            </w:r>
            <w:r>
              <w:rPr>
                <w:rFonts w:ascii="仿宋_GB2312" w:hAnsi="仿宋_GB2312" w:cs="仿宋_GB2312" w:eastAsia="仿宋_GB2312"/>
                <w:sz w:val="24"/>
              </w:rPr>
              <w:t>“数量、质量、生态三位一体保护”试点工作要求。</w:t>
            </w:r>
          </w:p>
          <w:p>
            <w:pPr>
              <w:pStyle w:val="null3"/>
            </w:pPr>
            <w:r>
              <w:rPr>
                <w:rFonts w:ascii="仿宋_GB2312" w:hAnsi="仿宋_GB2312" w:cs="仿宋_GB2312" w:eastAsia="仿宋_GB2312"/>
                <w:sz w:val="24"/>
                <w:b/>
              </w:rPr>
              <w:t>二、服务内容</w:t>
            </w:r>
          </w:p>
          <w:p>
            <w:pPr>
              <w:pStyle w:val="null3"/>
              <w:ind w:firstLine="480"/>
            </w:pPr>
            <w:r>
              <w:rPr>
                <w:rFonts w:ascii="仿宋_GB2312" w:hAnsi="仿宋_GB2312" w:cs="仿宋_GB2312" w:eastAsia="仿宋_GB2312"/>
                <w:sz w:val="24"/>
              </w:rPr>
              <w:t>1.准备阶段：收集三调、年度国土变更调查、三区三线等基础资料。</w:t>
            </w:r>
          </w:p>
          <w:p>
            <w:pPr>
              <w:pStyle w:val="null3"/>
              <w:ind w:firstLine="480"/>
            </w:pPr>
            <w:r>
              <w:rPr>
                <w:rFonts w:ascii="仿宋_GB2312" w:hAnsi="仿宋_GB2312" w:cs="仿宋_GB2312" w:eastAsia="仿宋_GB2312"/>
                <w:sz w:val="24"/>
              </w:rPr>
              <w:t>2.底图更新完善：结合省级下发底图，核实删除无效图斑、增补符合要求的历史流出耕地图斑，扣除三区三线不纳入保护的六种情形图斑。</w:t>
            </w:r>
          </w:p>
          <w:p>
            <w:pPr>
              <w:pStyle w:val="null3"/>
              <w:ind w:firstLine="480"/>
            </w:pPr>
            <w:r>
              <w:rPr>
                <w:rFonts w:ascii="仿宋_GB2312" w:hAnsi="仿宋_GB2312" w:cs="仿宋_GB2312" w:eastAsia="仿宋_GB2312"/>
                <w:sz w:val="24"/>
              </w:rPr>
              <w:t>3.外业实地核实：对下发图斑开展全覆盖外业调查，核实耕作层状态、种植情况、群众意愿、灌排条件等信息。</w:t>
            </w:r>
          </w:p>
          <w:p>
            <w:pPr>
              <w:pStyle w:val="null3"/>
              <w:ind w:firstLine="480"/>
            </w:pPr>
            <w:r>
              <w:rPr>
                <w:rFonts w:ascii="仿宋_GB2312" w:hAnsi="仿宋_GB2312" w:cs="仿宋_GB2312" w:eastAsia="仿宋_GB2312"/>
                <w:sz w:val="24"/>
              </w:rPr>
              <w:t>4.分类处置摸底：按照 “认定一批、恢复一批、置换一批” 要求，逐图斑确定处置方式，确保置换总量平衡。</w:t>
            </w:r>
          </w:p>
          <w:p>
            <w:pPr>
              <w:pStyle w:val="null3"/>
              <w:ind w:firstLine="480"/>
            </w:pPr>
            <w:r>
              <w:rPr>
                <w:rFonts w:ascii="仿宋_GB2312" w:hAnsi="仿宋_GB2312" w:cs="仿宋_GB2312" w:eastAsia="仿宋_GB2312"/>
                <w:sz w:val="24"/>
              </w:rPr>
              <w:t>5.方案与数据编制：编制区级摸底调查报告、分类处置矢量数据，完成5套核心统计表（初步测算统计表、分地类调查统计表、永久基本农田分地类调查统计表、分年度调查统计表、永久基本农田分年度调查统计表）。</w:t>
            </w:r>
          </w:p>
          <w:p>
            <w:pPr>
              <w:pStyle w:val="null3"/>
              <w:ind w:firstLine="480"/>
            </w:pPr>
            <w:r>
              <w:rPr>
                <w:rFonts w:ascii="仿宋_GB2312" w:hAnsi="仿宋_GB2312" w:cs="仿宋_GB2312" w:eastAsia="仿宋_GB2312"/>
                <w:sz w:val="24"/>
              </w:rPr>
              <w:t>6.数据质检汇交：开展成果自查、市级复核对接，最终将成果纳入年度国土变更调查单独图层。</w:t>
            </w:r>
          </w:p>
          <w:p>
            <w:pPr>
              <w:pStyle w:val="null3"/>
            </w:pPr>
            <w:r>
              <w:rPr>
                <w:rFonts w:ascii="仿宋_GB2312" w:hAnsi="仿宋_GB2312" w:cs="仿宋_GB2312" w:eastAsia="仿宋_GB2312"/>
                <w:sz w:val="24"/>
                <w:b/>
              </w:rPr>
              <w:t>三、技术要求</w:t>
            </w:r>
          </w:p>
          <w:p>
            <w:pPr>
              <w:pStyle w:val="null3"/>
              <w:ind w:firstLine="480"/>
            </w:pPr>
            <w:r>
              <w:rPr>
                <w:rFonts w:ascii="仿宋_GB2312" w:hAnsi="仿宋_GB2312" w:cs="仿宋_GB2312" w:eastAsia="仿宋_GB2312"/>
                <w:sz w:val="24"/>
              </w:rPr>
              <w:t>1.严格执行《国土调查数据库标准》《第三次全国国土调查技术规程》及陕西省历史流出耕地过渡期恢复方案编制技术要求。</w:t>
            </w:r>
          </w:p>
          <w:p>
            <w:pPr>
              <w:pStyle w:val="null3"/>
              <w:ind w:firstLine="480"/>
            </w:pPr>
            <w:r>
              <w:rPr>
                <w:rFonts w:ascii="仿宋_GB2312" w:hAnsi="仿宋_GB2312" w:cs="仿宋_GB2312" w:eastAsia="仿宋_GB2312"/>
                <w:sz w:val="24"/>
              </w:rPr>
              <w:t>2.历史流出耕地过渡期恢复方案分类处置需符合优先、禁止纳入“恢复一批、置换调入”的图斑规则，永久基本农田内图斑按连片性要求处置。</w:t>
            </w:r>
          </w:p>
          <w:p>
            <w:pPr>
              <w:pStyle w:val="null3"/>
              <w:ind w:firstLine="480"/>
            </w:pPr>
            <w:r>
              <w:rPr>
                <w:rFonts w:ascii="仿宋_GB2312" w:hAnsi="仿宋_GB2312" w:cs="仿宋_GB2312" w:eastAsia="仿宋_GB2312"/>
                <w:sz w:val="24"/>
              </w:rPr>
              <w:t>3.历史流出耕地过渡期恢复方案矢量属性数据严格遵循已纳入过渡期处置范围图层属性结构，字段填写完整、规范。</w:t>
            </w:r>
          </w:p>
          <w:p>
            <w:pPr>
              <w:pStyle w:val="null3"/>
              <w:ind w:firstLine="480"/>
            </w:pPr>
            <w:r>
              <w:rPr>
                <w:rFonts w:ascii="仿宋_GB2312" w:hAnsi="仿宋_GB2312" w:cs="仿宋_GB2312" w:eastAsia="仿宋_GB2312"/>
                <w:sz w:val="24"/>
              </w:rPr>
              <w:t>4.历史流出耕地过渡期恢复方案成果数据与年度国土变更调查成果充分衔接，确保逻辑一致、数据真实。</w:t>
            </w:r>
            <w:r>
              <w:br/>
            </w:r>
            <w:r>
              <w:rPr>
                <w:rFonts w:ascii="仿宋_GB2312" w:hAnsi="仿宋_GB2312" w:cs="仿宋_GB2312" w:eastAsia="仿宋_GB2312"/>
                <w:sz w:val="24"/>
                <w:b/>
              </w:rPr>
              <w:t>四、服务要求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.外业标准：现场举证，充分征求村集体、农户意见，维护群众合法权益。</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.成果标准：提交成果符合省级“五表 + 一报告 + 一矢量” 要求，数据准确、格式规范、通过各级审核。</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.进度保障：自合同签订之日起60日历天内完成全部调查、编制、汇交工作并通过验收。</w:t>
            </w:r>
          </w:p>
          <w:p>
            <w:pPr>
              <w:pStyle w:val="null3"/>
            </w:pPr>
            <w:r>
              <w:rPr>
                <w:rFonts w:ascii="仿宋_GB2312" w:hAnsi="仿宋_GB2312" w:cs="仿宋_GB2312" w:eastAsia="仿宋_GB2312"/>
                <w:sz w:val="24"/>
                <w:b/>
              </w:rPr>
              <w:t>五、保障承诺</w:t>
            </w:r>
          </w:p>
          <w:p>
            <w:pPr>
              <w:pStyle w:val="null3"/>
            </w:pPr>
            <w:r>
              <w:rPr>
                <w:rFonts w:ascii="仿宋_GB2312" w:hAnsi="仿宋_GB2312" w:cs="仿宋_GB2312" w:eastAsia="仿宋_GB2312"/>
                <w:sz w:val="24"/>
                <w:b/>
              </w:rPr>
              <w:t xml:space="preserve">        </w:t>
            </w:r>
            <w:r>
              <w:rPr>
                <w:rFonts w:ascii="仿宋_GB2312" w:hAnsi="仿宋_GB2312" w:cs="仿宋_GB2312" w:eastAsia="仿宋_GB2312"/>
                <w:sz w:val="24"/>
              </w:rPr>
              <w:t>供应商确保本项目顺利完成，需对本项目进行保障承诺。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项目负责人专业实力雄厚、具有有效的注册测绘师执业资格或相关专业中级及以上技术职称；具有丰富的工作经验和类似业绩，项目负责人近3年（2023年1月至今）完成过至少一项类似业绩，且为本单位在职人员，同时提供近3个月本单位社保缴纳证明。 2、项目参与人员：团队配置齐全、人员架构合理、需配备专职外业调查、内业数据处理人员；团队人员专业匹配度高、分工清晰、技术能力过硬、经验丰富，需有专业人员不少于8名，且为本单位在职人员，同时提供近3个月本单位社保缴纳证明。</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成果交付要求 ①纸质成果：摸底调查报告、各类统计表各纸质版4份； ②电子成果：矢量数据、表格、报告全套电子版2 套（U 盘），格式符合国土变更调查数据库要求。 2. 质量验收标准 ①符合自然资源部、陕西省自然资源厅关于历史流出耕地过渡期恢复方案的全部技术规范； ②成果通过市级复核、省级审核确认，顺利纳入国土变更调查数据库； ③数据真实准确、文数库一致，满足耕地保护考核要求。 3. 违约责任 供应商未按时间节点完成工作、成果不符合验收标准的，采购方有权扣除相应款项；逾期超过15日的，采购方可解除合同并追究违约责任。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自合同签订之日起60日历天内完成全部调查、编制、汇交工作并通过验收。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①符合自然资源部、陕西省自然资源厅关于历史流出耕地过渡期恢复方案的全部技术规范； ②成果通过市级复核、省级审核确认，顺利纳入国土变更调查数据库； ③数据真实准确、文数库一致，满足耕地保护考核要求。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进度款，外业核实完成后，达到付款条件起10个工作日内，支付合同总金额的30.0%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进度款，成果通过省级审核、完成数据库汇交并确认合格后，达到付款条件起10个工作日内，支付合同总金额的40.0%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成交供应商应在成交公告发布之日起3个工作日内将响应文件纸质版正本壹份、副本贰份、电子版（U盘1个）贰份（包含 word及PDF格式响应文件所有内容。）送达至招标代理机构。（纸质响应文件建议A4纸双面打印，正、副本分别各自装订成册并编制目录和页码，并加盖公章。）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应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测绘师行业统一监管平台赋予的验证码；或提供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完税证明，完税证明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以采购人或采购代理机构于响应文件递交截止日当天查询结果为准，凡被列入失信被执行人、重大税收违法案件当事人名单、政府采购严重违法失信行为记录名单的，视为存在不良信用记录，参与本项目将被拒绝。（信用记录自查截图） 供应商应符合《财政部关于在政府采购活动中查询及使用信用记录有关问题的通知》（财库【2016】125号）文件中信用查询的要求。供应商需在项目电子化交易系统中按要求上传相应证明文件并进行电子签章。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本项目不接受联合体投标（供应商需提供非联合体投标承诺书，格式自拟）。供应商需在项目电子化交易系统中按要求上传相应证明文件并进行电子签章。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3-1残疾人福利性单位声明函 3-2监狱企业的证明文件 3中小企业声明函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法定代表人直接参与磋商的，须出具法定代表人证明（附法人身份证 复印件）；法定代表人授权代表参与磋商的，须出具法人授权委托书（附法人及授权代表身份证复印件)</w:t>
            </w:r>
          </w:p>
        </w:tc>
        <w:tc>
          <w:tcPr>
            <w:tcW w:type="dxa" w:w="3322"/>
          </w:tcPr>
          <w:p>
            <w:pPr>
              <w:pStyle w:val="null3"/>
            </w:pPr>
            <w:r>
              <w:rPr>
                <w:rFonts w:ascii="仿宋_GB2312" w:hAnsi="仿宋_GB2312" w:cs="仿宋_GB2312" w:eastAsia="仿宋_GB2312"/>
              </w:rPr>
              <w:t>法定代表人直接参与磋商的，须出具法定代表人证明（附法人身份证 复印件）；法定代表人授权代表参与磋商的，须出具法人授权委托书（附法人及授权代表身份证复印件)。供应商需在项目电子化交易系统中按要求上传相应证明文件并进行电子签章。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10法定代表人身份证明.docx 10-1法定代表人授权书.docx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供应商具有行政主管部门颁发的测绘乙级（含乙级）及以上资质（含界线与不动产测绘、地理信息系统工程专业范围）</w:t>
            </w:r>
          </w:p>
        </w:tc>
        <w:tc>
          <w:tcPr>
            <w:tcW w:type="dxa" w:w="3322"/>
          </w:tcPr>
          <w:p>
            <w:pPr>
              <w:pStyle w:val="null3"/>
            </w:pPr>
            <w:r>
              <w:rPr>
                <w:rFonts w:ascii="仿宋_GB2312" w:hAnsi="仿宋_GB2312" w:cs="仿宋_GB2312" w:eastAsia="仿宋_GB2312"/>
              </w:rPr>
              <w:t>供应商具有行政主管部门颁发的测绘乙级（含乙级）及以上资质（含界线与不动产测绘、地理信息系统工程专业范围）。供应商需在项目电子化交易系统中按要求上传相应证明文件并进行电子签章。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13供应商具有行政主管部门颁发的测绘乙级（含乙级）及以上资质（含界线与不动产测绘、地理信息系统工程专业范围）.docx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项目负责人具有有效的注册测绘师执业资格或相关专业中级及以上技术职称，并提供本单位社保缴纳证明</w:t>
            </w:r>
          </w:p>
        </w:tc>
        <w:tc>
          <w:tcPr>
            <w:tcW w:type="dxa" w:w="3322"/>
          </w:tcPr>
          <w:p>
            <w:pPr>
              <w:pStyle w:val="null3"/>
            </w:pPr>
            <w:r>
              <w:rPr>
                <w:rFonts w:ascii="仿宋_GB2312" w:hAnsi="仿宋_GB2312" w:cs="仿宋_GB2312" w:eastAsia="仿宋_GB2312"/>
              </w:rPr>
              <w:t>项目负责人具有有效的注册测绘师执业资格或相关专业中级及以上技术职称，并提供本单位社保缴纳证明。供应商需在项目电子化交易系统中按要求上传相应证明文件并进行电子签章。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14项目负责人具有有效的注册测绘师执业资格或相关专业中级及以上技术职称，并提供本单位社保缴纳证明.docx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（1）磋商响应文件是否按照磋商文件要求的格 式编写； （2）磋商响应文件内容是否有重大缺 漏项。</w:t>
            </w:r>
          </w:p>
        </w:tc>
        <w:tc>
          <w:tcPr>
            <w:tcW w:type="dxa" w:w="1661"/>
          </w:tcPr>
          <w:p>
            <w:pPr>
              <w:pStyle w:val="null3"/>
            </w:pPr>
            <w:r>
              <w:rPr>
                <w:rFonts w:ascii="仿宋_GB2312" w:hAnsi="仿宋_GB2312" w:cs="仿宋_GB2312" w:eastAsia="仿宋_GB2312"/>
              </w:rPr>
              <w:t>1响应文件封面 9服务方案.docx 6商务应答表 5服务内容及服务要求应答表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（1）磋商响应文件的签署、加盖印章是否合格 、有效； （2）提供的各种证明文件、数据、资 料是否合格、有效。</w:t>
            </w:r>
          </w:p>
        </w:tc>
        <w:tc>
          <w:tcPr>
            <w:tcW w:type="dxa" w:w="1661"/>
          </w:tcPr>
          <w:p>
            <w:pPr>
              <w:pStyle w:val="null3"/>
            </w:pPr>
            <w:r>
              <w:rPr>
                <w:rFonts w:ascii="仿宋_GB2312" w:hAnsi="仿宋_GB2312" w:cs="仿宋_GB2312" w:eastAsia="仿宋_GB2312"/>
              </w:rPr>
              <w:t>4供应商应提交的相关资格证明材料.docx 3-1残疾人福利性单位声明函 13供应商具有行政主管部门颁发的测绘乙级（含乙级）及以上资质（含界线与不动产测绘、地理信息系统工程专业范围）.docx 3-2监狱企业的证明文件 14项目负责人具有有效的注册测绘师执业资格或相关专业中级及以上技术职称，并提供本单位社保缴纳证明.docx 15供应商确保本项目顺利完成，对本项目的所有保障承诺.docx 3中小企业声明函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对磋商文件的响应性审查</w:t>
            </w:r>
          </w:p>
        </w:tc>
        <w:tc>
          <w:tcPr>
            <w:tcW w:type="dxa" w:w="3322"/>
          </w:tcPr>
          <w:p>
            <w:pPr>
              <w:pStyle w:val="null3"/>
            </w:pPr>
            <w:r>
              <w:rPr>
                <w:rFonts w:ascii="仿宋_GB2312" w:hAnsi="仿宋_GB2312" w:cs="仿宋_GB2312" w:eastAsia="仿宋_GB2312"/>
              </w:rPr>
              <w:t>（1）磋商报价唯一，是否超过最高限价； （2 ) 磋商有效期是否符合磋商文件的要求； （3） 对磋商文件商务部分指标是否完全响应。</w:t>
            </w:r>
          </w:p>
        </w:tc>
        <w:tc>
          <w:tcPr>
            <w:tcW w:type="dxa" w:w="1661"/>
          </w:tcPr>
          <w:p>
            <w:pPr>
              <w:pStyle w:val="null3"/>
            </w:pPr>
            <w:r>
              <w:rPr>
                <w:rFonts w:ascii="仿宋_GB2312" w:hAnsi="仿宋_GB2312" w:cs="仿宋_GB2312" w:eastAsia="仿宋_GB2312"/>
              </w:rPr>
              <w:t>2响应函 6商务应答表 7报价表 8标的清单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7报价表 8标的清单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评审内容：①项目需求分析理解；②总体框架及目标；③实施思路及方法；④服务内容及标准。 评审依据：每一项内容描述详细，切实可行符合项目实际内容得 2.0 分，①～④项合计得 8 分。内容①～④项任意一项缺项扣 2.0 分，扣完为止； 内容①～④项里有一项内容有缺陷（缺陷是指：内容不详细具体、条理不清晰、描述过于简单、与项目特点不匹配、凭空编造、出现常识性错误、不可能实现的夸大情形、存在不适用项目实际情况的情形等）扣0.1-1.9 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评审内容：①应急组织机构②应急响应流程③作业过程中突发状况的应急处理方案④应急保障措施。 评审依据：每一项内容描述详细，切实可行符合项目实际内容得 2.0 分，①～④项合计得 8 分。内容①～④项任意一项缺项扣 2.0 分，扣完为止； 内容①～④项里有一项内容有缺陷（缺陷是指：内容不详细具体、条理不清晰、描述过于简单、与项目特点不匹配、凭空编造、出现常识性错误、不可能实现的夸大情形、存在不适用项目实际情况的情形等）扣0.1-1.9 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项目组织</w:t>
            </w:r>
          </w:p>
        </w:tc>
        <w:tc>
          <w:tcPr>
            <w:tcW w:type="dxa" w:w="2492"/>
          </w:tcPr>
          <w:p>
            <w:pPr>
              <w:pStyle w:val="null3"/>
            </w:pPr>
            <w:r>
              <w:rPr>
                <w:rFonts w:ascii="仿宋_GB2312" w:hAnsi="仿宋_GB2312" w:cs="仿宋_GB2312" w:eastAsia="仿宋_GB2312"/>
              </w:rPr>
              <w:t>评审内容：①提供组织框架；②人员名单及工作职责；③培训考核方案。 评审依据：每一项内容描述详细，切实可行符合项目实际内容得 2.0 分，①～③项合计得 6 分。内容①～③项任意一项缺项扣 2.0 分，扣完为止； 内容①～③项里有一项内容有缺陷（缺陷是指：内容不详细具体、条理不清晰、描述过于简单、与项目特点不匹配、凭空编造、出现常识性错误、不可能实现的夸大情形、存在不适用项目实际情况的情形等）扣0.1-1.9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工作制度及内控制度</w:t>
            </w:r>
          </w:p>
        </w:tc>
        <w:tc>
          <w:tcPr>
            <w:tcW w:type="dxa" w:w="2492"/>
          </w:tcPr>
          <w:p>
            <w:pPr>
              <w:pStyle w:val="null3"/>
            </w:pPr>
            <w:r>
              <w:rPr>
                <w:rFonts w:ascii="仿宋_GB2312" w:hAnsi="仿宋_GB2312" w:cs="仿宋_GB2312" w:eastAsia="仿宋_GB2312"/>
              </w:rPr>
              <w:t>评审内容：①工作制度；②内控制度；③档案管理。 评审依据：每一项内容描述详细，切实可行符合项目实际内容得 2.0 分，①～③项合计得 6 分。内容①～③项任意一项缺项扣 2.0 分，扣完为止； 内容①～②项里有一项内容有缺陷（缺陷是指：内容不详细具体、条理不清晰、描述过于简单、与项目特点不匹配、凭空编造、出现常识性错误、不可能实现的夸大情形、存在不适用项目实际情况的情形等）扣0.1-1.9 分。 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工作进度保障</w:t>
            </w:r>
          </w:p>
        </w:tc>
        <w:tc>
          <w:tcPr>
            <w:tcW w:type="dxa" w:w="2492"/>
          </w:tcPr>
          <w:p>
            <w:pPr>
              <w:pStyle w:val="null3"/>
            </w:pPr>
            <w:r>
              <w:rPr>
                <w:rFonts w:ascii="仿宋_GB2312" w:hAnsi="仿宋_GB2312" w:cs="仿宋_GB2312" w:eastAsia="仿宋_GB2312"/>
              </w:rPr>
              <w:t>评审内容：①工作进度计划安排；②工作进度计划保障措施。 评审依据：每一项内容描述详细，切实可行符合项目实际内容得 2.0 分，①～②项合计得 4 分。内容①～②项任意一项缺项扣 2.0 分，扣完为止； 内容①～②项里有一项内容有缺陷（缺陷是指：内容不详细具体、条理不清晰、描述过于简单、与项目特点不匹配、凭空编造、出现常识性错误、不可能实现的夸大情形、存在不适用项目实际情况的情形等）扣0.1-1.9 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评审内容：①对本项目的重点、难点进行分析；②对本项目重点、难点的应对措施。 评审依据：每一项内容描述详细，切实可行符合项目实际内容得2.0 分，①～②项合计得 4分。内容①～②项任意一项缺项扣 2.0 分，扣完为止；内容①～②项里有一项内容有缺陷（缺陷是指：内容不详细具体、条理不清晰、描述过于简单、与项目特点不匹配、凭空编造、出现常识性错误、不可能实现的夸大情形、存在不适用项目实际情况的情形等）扣0.1-1.9 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服务承诺及保密措施</w:t>
            </w:r>
          </w:p>
        </w:tc>
        <w:tc>
          <w:tcPr>
            <w:tcW w:type="dxa" w:w="2492"/>
          </w:tcPr>
          <w:p>
            <w:pPr>
              <w:pStyle w:val="null3"/>
            </w:pPr>
            <w:r>
              <w:rPr>
                <w:rFonts w:ascii="仿宋_GB2312" w:hAnsi="仿宋_GB2312" w:cs="仿宋_GB2312" w:eastAsia="仿宋_GB2312"/>
              </w:rPr>
              <w:t>评审内容：①服务承诺；②保密措施。 评审依据：每一项内容描述详细，切实可行符合项目实际内容得2.0 分，①～②项合计得 4 分。内容①～②项任意一项缺项扣 2.0 分，扣完为止；内容①～②项里有一项内容有缺陷（缺陷是指：内容不详细具体、条理不清晰、描述过于简单、与项目特点不匹配、凭空编造、出现常识性错误、不可能实现的夸大情形、存在不适用项目实际情况的情形等）扣0.1-1.9 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专业实力雄厚、具有丰富的工作经验和类似业绩：近3年（2023年1月至今）完成过至少一项类似业绩，且为本单位在职人员，满足以上要求得2分，不满足不得分。在此基础上每增加1个类似业绩得2分，最多加4分，本评审项最高得6分。 注：提供①人员证书复印件或扫描件②工作经历证明资料或人员业绩证明资料并加盖公章（业绩的支撑证明材料：例如甲方出具加盖公章的证明或合同中直接体现项目负责人姓名）③企业业绩和人员业绩可重复计分④项目负责人必须为供应商本公司的在职人员，同时提供近3个月本单位社保缴纳证明，否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11拟派本项目管理、技术、服务人员情况表.docx</w:t>
            </w:r>
          </w:p>
        </w:tc>
      </w:tr>
      <w:tr>
        <w:tc>
          <w:tcPr>
            <w:tcW w:type="dxa" w:w="831"/>
            <w:vMerge/>
          </w:tcPr>
          <w:p/>
        </w:tc>
        <w:tc>
          <w:tcPr>
            <w:tcW w:type="dxa" w:w="1661"/>
          </w:tcPr>
          <w:p>
            <w:pPr>
              <w:pStyle w:val="null3"/>
            </w:pPr>
            <w:r>
              <w:rPr>
                <w:rFonts w:ascii="仿宋_GB2312" w:hAnsi="仿宋_GB2312" w:cs="仿宋_GB2312" w:eastAsia="仿宋_GB2312"/>
              </w:rPr>
              <w:t>拟派本项目团队</w:t>
            </w:r>
          </w:p>
        </w:tc>
        <w:tc>
          <w:tcPr>
            <w:tcW w:type="dxa" w:w="2492"/>
          </w:tcPr>
          <w:p>
            <w:pPr>
              <w:pStyle w:val="null3"/>
            </w:pPr>
            <w:r>
              <w:rPr>
                <w:rFonts w:ascii="仿宋_GB2312" w:hAnsi="仿宋_GB2312" w:cs="仿宋_GB2312" w:eastAsia="仿宋_GB2312"/>
              </w:rPr>
              <w:t>1、项目参与人员：满足磋商文件第三章人员配备要求（团队配置齐全、人员架构合理、需配备专职外业调查、内业数据处理人员；团队人员专业匹配度高、分工清晰、技术能力过硬、经验丰富，需有专业人员不少于8名，且为本单位在职人员），每人计0.5分，得4分； 2、项目参与人员（项目负责人除外）的技术职称： 具有高级职称加2分； 具有中级职称加1分，最多加8分。 本评审项最高得12分。 注：提供①人员证书复印件或扫描件②项目参与人员必须为供应商本公司的在职人员，同时提供近3个月本单位社保缴纳证明，否则本项不得分。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11拟派本项目管理、技术、服务人员情况表.docx</w:t>
            </w:r>
          </w:p>
        </w:tc>
      </w:tr>
      <w:tr>
        <w:tc>
          <w:tcPr>
            <w:tcW w:type="dxa" w:w="831"/>
            <w:vMerge/>
          </w:tcPr>
          <w:p/>
        </w:tc>
        <w:tc>
          <w:tcPr>
            <w:tcW w:type="dxa" w:w="1661"/>
          </w:tcPr>
          <w:p>
            <w:pPr>
              <w:pStyle w:val="null3"/>
            </w:pPr>
            <w:r>
              <w:rPr>
                <w:rFonts w:ascii="仿宋_GB2312" w:hAnsi="仿宋_GB2312" w:cs="仿宋_GB2312" w:eastAsia="仿宋_GB2312"/>
              </w:rPr>
              <w:t>供应商确保本项目顺利完成，对本项目的所有保障承诺</w:t>
            </w:r>
          </w:p>
        </w:tc>
        <w:tc>
          <w:tcPr>
            <w:tcW w:type="dxa" w:w="2492"/>
          </w:tcPr>
          <w:p>
            <w:pPr>
              <w:pStyle w:val="null3"/>
            </w:pPr>
            <w:r>
              <w:rPr>
                <w:rFonts w:ascii="仿宋_GB2312" w:hAnsi="仿宋_GB2312" w:cs="仿宋_GB2312" w:eastAsia="仿宋_GB2312"/>
              </w:rPr>
              <w:t>根据供应商对本项目的所有保障承诺响应情况进行赋分（满分12分）： ①工期保障承诺（2 分）：承诺按期完成全流程调查工作、阶段性成果报送，并明确工期延误违约责任，全部满足得 2 分，缺项不得分；② 成果质量承诺（2 分）：承诺执行现行技术标准、落实三级质检、上级反馈问题无偿限期整改，全部满足得 2 分，缺项不得分；③数据保密承诺（2 分）：承诺涉密资料仅限本项目使用、作业人员签订保密协议、完工后规范处置涉密数据，全部满足得 2 分，缺项不得分；④ 驻场及应急响应承诺（2 分）：承诺项目期专职人员驻场、1 小时线上响应、争议地块 48 小时到场复核，全部满足得 2 分，缺项不得分；⑤多级核查配合承诺（2 分）：承诺无偿配合省、市、县各级督导抽查、现场核验、技术答疑，全部满足得 2 分，缺项不得分；⑥后期长期技术支撑承诺（2 分）：承诺成果交付后持续免费配合过渡期方案上报、耕地保护考核、图斑复核调整，全部满足得 2 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15供应商确保本项目顺利完成，对本项目的所有保障承诺.docx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提供近三年（2023年1月至今）同类项目业绩，每提供一项得2分（需要提供合同复印件，合同复印件包括合同首页、签字盖章页以及合同内容关键页，要求合同复印件资料齐全，否则不得分），满分10分。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7报价表</w:t>
            </w:r>
          </w:p>
          <w:p>
            <w:pPr>
              <w:pStyle w:val="null3"/>
            </w:pPr>
            <w:r>
              <w:rPr>
                <w:rFonts w:ascii="仿宋_GB2312" w:hAnsi="仿宋_GB2312" w:cs="仿宋_GB2312" w:eastAsia="仿宋_GB2312"/>
              </w:rPr>
              <w:t>8标的清单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 , 即满足磋商文件要求且最后磋商报价最低的报价为评审基准价，其价格分为满分。其他供应商的价格分统一按照下列公式计算： 磋商报价得分=【评审基准价/磋商报价( 最终二次报价）】 ×20； 2、本项目专门面向中小企业采购，不再执行价格评审优惠扶持政策。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7报价表</w:t>
            </w:r>
          </w:p>
          <w:p>
            <w:pPr>
              <w:pStyle w:val="null3"/>
            </w:pPr>
            <w:r>
              <w:rPr>
                <w:rFonts w:ascii="仿宋_GB2312" w:hAnsi="仿宋_GB2312" w:cs="仿宋_GB2312" w:eastAsia="仿宋_GB2312"/>
              </w:rPr>
              <w:t>8标的清单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详见附件：1响应文件封面</w:t>
      </w:r>
    </w:p>
    <w:p>
      <w:pPr>
        <w:pStyle w:val="null3"/>
        <w:ind w:firstLine="960"/>
      </w:pPr>
      <w:r>
        <w:rPr>
          <w:rFonts w:ascii="仿宋_GB2312" w:hAnsi="仿宋_GB2312" w:cs="仿宋_GB2312" w:eastAsia="仿宋_GB2312"/>
        </w:rPr>
        <w:t>详见附件：2响应函</w:t>
      </w:r>
    </w:p>
    <w:p>
      <w:pPr>
        <w:pStyle w:val="null3"/>
        <w:ind w:firstLine="960"/>
      </w:pPr>
      <w:r>
        <w:rPr>
          <w:rFonts w:ascii="仿宋_GB2312" w:hAnsi="仿宋_GB2312" w:cs="仿宋_GB2312" w:eastAsia="仿宋_GB2312"/>
        </w:rPr>
        <w:t>详见附件：3中小企业声明函</w:t>
      </w:r>
    </w:p>
    <w:p>
      <w:pPr>
        <w:pStyle w:val="null3"/>
        <w:ind w:firstLine="960"/>
      </w:pPr>
      <w:r>
        <w:rPr>
          <w:rFonts w:ascii="仿宋_GB2312" w:hAnsi="仿宋_GB2312" w:cs="仿宋_GB2312" w:eastAsia="仿宋_GB2312"/>
        </w:rPr>
        <w:t>详见附件：3-1残疾人福利性单位声明函</w:t>
      </w:r>
    </w:p>
    <w:p>
      <w:pPr>
        <w:pStyle w:val="null3"/>
        <w:ind w:firstLine="960"/>
      </w:pPr>
      <w:r>
        <w:rPr>
          <w:rFonts w:ascii="仿宋_GB2312" w:hAnsi="仿宋_GB2312" w:cs="仿宋_GB2312" w:eastAsia="仿宋_GB2312"/>
        </w:rPr>
        <w:t>详见附件：3-2监狱企业的证明文件</w:t>
      </w:r>
    </w:p>
    <w:p>
      <w:pPr>
        <w:pStyle w:val="null3"/>
        <w:ind w:firstLine="960"/>
      </w:pPr>
      <w:r>
        <w:rPr>
          <w:rFonts w:ascii="仿宋_GB2312" w:hAnsi="仿宋_GB2312" w:cs="仿宋_GB2312" w:eastAsia="仿宋_GB2312"/>
        </w:rPr>
        <w:t>详见附件：4供应商应提交的相关资格证明材料.docx</w:t>
      </w:r>
    </w:p>
    <w:p>
      <w:pPr>
        <w:pStyle w:val="null3"/>
        <w:ind w:firstLine="960"/>
      </w:pPr>
      <w:r>
        <w:rPr>
          <w:rFonts w:ascii="仿宋_GB2312" w:hAnsi="仿宋_GB2312" w:cs="仿宋_GB2312" w:eastAsia="仿宋_GB2312"/>
        </w:rPr>
        <w:t>详见附件：5服务内容及服务要求应答表</w:t>
      </w:r>
    </w:p>
    <w:p>
      <w:pPr>
        <w:pStyle w:val="null3"/>
        <w:ind w:firstLine="960"/>
      </w:pPr>
      <w:r>
        <w:rPr>
          <w:rFonts w:ascii="仿宋_GB2312" w:hAnsi="仿宋_GB2312" w:cs="仿宋_GB2312" w:eastAsia="仿宋_GB2312"/>
        </w:rPr>
        <w:t>详见附件：6商务应答表</w:t>
      </w:r>
    </w:p>
    <w:p>
      <w:pPr>
        <w:pStyle w:val="null3"/>
        <w:ind w:firstLine="960"/>
      </w:pPr>
      <w:r>
        <w:rPr>
          <w:rFonts w:ascii="仿宋_GB2312" w:hAnsi="仿宋_GB2312" w:cs="仿宋_GB2312" w:eastAsia="仿宋_GB2312"/>
        </w:rPr>
        <w:t>详见附件：7报价表</w:t>
      </w:r>
    </w:p>
    <w:p>
      <w:pPr>
        <w:pStyle w:val="null3"/>
        <w:ind w:firstLine="960"/>
      </w:pPr>
      <w:r>
        <w:rPr>
          <w:rFonts w:ascii="仿宋_GB2312" w:hAnsi="仿宋_GB2312" w:cs="仿宋_GB2312" w:eastAsia="仿宋_GB2312"/>
        </w:rPr>
        <w:t>详见附件：8标的清单</w:t>
      </w:r>
    </w:p>
    <w:p>
      <w:pPr>
        <w:pStyle w:val="null3"/>
        <w:ind w:firstLine="960"/>
      </w:pPr>
      <w:r>
        <w:rPr>
          <w:rFonts w:ascii="仿宋_GB2312" w:hAnsi="仿宋_GB2312" w:cs="仿宋_GB2312" w:eastAsia="仿宋_GB2312"/>
        </w:rPr>
        <w:t>详见附件：9服务方案.docx</w:t>
      </w:r>
    </w:p>
    <w:p>
      <w:pPr>
        <w:pStyle w:val="null3"/>
        <w:ind w:firstLine="960"/>
      </w:pPr>
      <w:r>
        <w:rPr>
          <w:rFonts w:ascii="仿宋_GB2312" w:hAnsi="仿宋_GB2312" w:cs="仿宋_GB2312" w:eastAsia="仿宋_GB2312"/>
        </w:rPr>
        <w:t>详见附件：10法定代表人身份证明.docx</w:t>
      </w:r>
    </w:p>
    <w:p>
      <w:pPr>
        <w:pStyle w:val="null3"/>
        <w:ind w:firstLine="960"/>
      </w:pPr>
      <w:r>
        <w:rPr>
          <w:rFonts w:ascii="仿宋_GB2312" w:hAnsi="仿宋_GB2312" w:cs="仿宋_GB2312" w:eastAsia="仿宋_GB2312"/>
        </w:rPr>
        <w:t>详见附件：10-1法定代表人授权书.docx</w:t>
      </w:r>
    </w:p>
    <w:p>
      <w:pPr>
        <w:pStyle w:val="null3"/>
        <w:ind w:firstLine="960"/>
      </w:pPr>
      <w:r>
        <w:rPr>
          <w:rFonts w:ascii="仿宋_GB2312" w:hAnsi="仿宋_GB2312" w:cs="仿宋_GB2312" w:eastAsia="仿宋_GB2312"/>
        </w:rPr>
        <w:t>详见附件：11拟派本项目管理、技术、服务人员情况表.docx</w:t>
      </w:r>
    </w:p>
    <w:p>
      <w:pPr>
        <w:pStyle w:val="null3"/>
        <w:ind w:firstLine="960"/>
      </w:pPr>
      <w:r>
        <w:rPr>
          <w:rFonts w:ascii="仿宋_GB2312" w:hAnsi="仿宋_GB2312" w:cs="仿宋_GB2312" w:eastAsia="仿宋_GB2312"/>
        </w:rPr>
        <w:t>详见附件：12业绩的有关证明材料.docx</w:t>
      </w:r>
    </w:p>
    <w:p>
      <w:pPr>
        <w:pStyle w:val="null3"/>
        <w:ind w:firstLine="960"/>
      </w:pPr>
      <w:r>
        <w:rPr>
          <w:rFonts w:ascii="仿宋_GB2312" w:hAnsi="仿宋_GB2312" w:cs="仿宋_GB2312" w:eastAsia="仿宋_GB2312"/>
        </w:rPr>
        <w:t>详见附件：13供应商具有行政主管部门颁发的测绘乙级（含乙级）及以上资质（含界线与不动产测绘、地理信息系统工程专业范围）.docx</w:t>
      </w:r>
    </w:p>
    <w:p>
      <w:pPr>
        <w:pStyle w:val="null3"/>
        <w:ind w:firstLine="960"/>
      </w:pPr>
      <w:r>
        <w:rPr>
          <w:rFonts w:ascii="仿宋_GB2312" w:hAnsi="仿宋_GB2312" w:cs="仿宋_GB2312" w:eastAsia="仿宋_GB2312"/>
        </w:rPr>
        <w:t>详见附件：14项目负责人具有有效的注册测绘师执业资格或相关专业中级及以上技术职称，并提供本单位社保缴纳证明.docx</w:t>
      </w:r>
    </w:p>
    <w:p>
      <w:pPr>
        <w:pStyle w:val="null3"/>
        <w:ind w:firstLine="960"/>
      </w:pPr>
      <w:r>
        <w:rPr>
          <w:rFonts w:ascii="仿宋_GB2312" w:hAnsi="仿宋_GB2312" w:cs="仿宋_GB2312" w:eastAsia="仿宋_GB2312"/>
        </w:rPr>
        <w:t>详见附件：15供应商确保本项目顺利完成，对本项目的所有保障承诺.docx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