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FCD07">
      <w:pPr>
        <w:pStyle w:val="3"/>
        <w:pageBreakBefore w:val="0"/>
        <w:overflowPunct/>
        <w:topLinePunct w:val="0"/>
        <w:bidi w:val="0"/>
        <w:spacing w:line="360" w:lineRule="auto"/>
        <w:jc w:val="center"/>
        <w:rPr>
          <w:rFonts w:hint="eastAsia" w:ascii="仿宋_GB2312" w:hAnsi="仿宋_GB2312" w:eastAsia="仿宋_GB2312" w:cs="仿宋_GB2312"/>
          <w:color w:val="auto"/>
          <w:sz w:val="36"/>
          <w:szCs w:val="36"/>
        </w:rPr>
      </w:pPr>
      <w:r>
        <w:rPr>
          <w:rFonts w:hint="eastAsia" w:ascii="仿宋_GB2312" w:hAnsi="仿宋_GB2312" w:eastAsia="仿宋_GB2312" w:cs="仿宋_GB2312"/>
          <w:color w:val="auto"/>
          <w:sz w:val="36"/>
          <w:szCs w:val="36"/>
        </w:rPr>
        <w:t>合同条款格式</w:t>
      </w:r>
    </w:p>
    <w:p w14:paraId="1A35DA25">
      <w:pPr>
        <w:pageBreakBefore w:val="0"/>
        <w:overflowPunct/>
        <w:topLinePunct w:val="0"/>
        <w:bidi w:val="0"/>
        <w:spacing w:before="120" w:line="360" w:lineRule="auto"/>
        <w:jc w:val="center"/>
        <w:rPr>
          <w:rFonts w:hint="eastAsia" w:ascii="仿宋_GB2312" w:hAnsi="仿宋_GB2312" w:eastAsia="仿宋_GB2312" w:cs="仿宋_GB2312"/>
          <w:color w:val="auto"/>
          <w:sz w:val="24"/>
        </w:rPr>
      </w:pPr>
      <w:bookmarkStart w:id="0" w:name="_Toc23426"/>
      <w:bookmarkStart w:id="1" w:name="_Toc23019"/>
      <w:bookmarkStart w:id="2" w:name="_Toc9523"/>
      <w:r>
        <w:rPr>
          <w:rFonts w:hint="eastAsia" w:ascii="仿宋_GB2312" w:hAnsi="仿宋_GB2312" w:eastAsia="仿宋_GB2312" w:cs="仿宋_GB2312"/>
          <w:color w:val="auto"/>
          <w:sz w:val="24"/>
        </w:rPr>
        <w:t>（参考格式）</w:t>
      </w:r>
    </w:p>
    <w:p w14:paraId="53C6C13E">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40EC69C5">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7459C415">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p>
    <w:p w14:paraId="38DAD16B">
      <w:pPr>
        <w:pageBreakBefore w:val="0"/>
        <w:overflowPunct/>
        <w:topLinePunct w:val="0"/>
        <w:bidi w:val="0"/>
        <w:spacing w:before="120" w:line="360" w:lineRule="auto"/>
        <w:jc w:val="center"/>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政 府 采 购 合 同</w:t>
      </w:r>
    </w:p>
    <w:p w14:paraId="2D7961FC">
      <w:pPr>
        <w:pageBreakBefore w:val="0"/>
        <w:overflowPunct/>
        <w:topLinePunct w:val="0"/>
        <w:bidi w:val="0"/>
        <w:spacing w:before="120" w:line="360" w:lineRule="auto"/>
        <w:ind w:firstLine="2626" w:firstLineChars="1090"/>
        <w:rPr>
          <w:rFonts w:hint="eastAsia" w:ascii="仿宋_GB2312" w:hAnsi="仿宋_GB2312" w:eastAsia="仿宋_GB2312" w:cs="仿宋_GB2312"/>
          <w:b/>
          <w:bCs/>
          <w:color w:val="auto"/>
          <w:sz w:val="24"/>
        </w:rPr>
      </w:pPr>
      <w:bookmarkStart w:id="3" w:name="_Toc109543216"/>
      <w:bookmarkStart w:id="4" w:name="_Toc109542396"/>
    </w:p>
    <w:p w14:paraId="385C2096">
      <w:pPr>
        <w:pageBreakBefore w:val="0"/>
        <w:overflowPunct/>
        <w:topLinePunct w:val="0"/>
        <w:bidi w:val="0"/>
        <w:spacing w:before="120" w:line="360" w:lineRule="auto"/>
        <w:ind w:firstLine="2626" w:firstLineChars="109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合同编号：</w:t>
      </w:r>
      <w:bookmarkEnd w:id="3"/>
      <w:bookmarkEnd w:id="4"/>
      <w:r>
        <w:rPr>
          <w:rFonts w:hint="eastAsia" w:ascii="仿宋_GB2312" w:hAnsi="仿宋_GB2312" w:eastAsia="仿宋_GB2312" w:cs="仿宋_GB2312"/>
          <w:b/>
          <w:bCs/>
          <w:color w:val="auto"/>
          <w:sz w:val="24"/>
          <w:u w:val="single"/>
        </w:rPr>
        <w:t xml:space="preserve">            </w:t>
      </w:r>
      <w:r>
        <w:rPr>
          <w:rFonts w:hint="eastAsia" w:ascii="仿宋_GB2312" w:hAnsi="仿宋_GB2312" w:eastAsia="仿宋_GB2312" w:cs="仿宋_GB2312"/>
          <w:color w:val="auto"/>
          <w:sz w:val="24"/>
        </w:rPr>
        <w:t xml:space="preserve">        </w:t>
      </w:r>
    </w:p>
    <w:p w14:paraId="3D07C6F5">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p>
    <w:p w14:paraId="02C49E9A">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p>
    <w:p w14:paraId="325B287A">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项目名称：</w:t>
      </w:r>
    </w:p>
    <w:p w14:paraId="7F0163D3">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u w:val="single"/>
        </w:rPr>
      </w:pPr>
      <w:r>
        <w:rPr>
          <w:rFonts w:hint="eastAsia" w:ascii="仿宋_GB2312" w:hAnsi="仿宋_GB2312" w:eastAsia="仿宋_GB2312" w:cs="仿宋_GB2312"/>
          <w:b/>
          <w:bCs/>
          <w:color w:val="auto"/>
          <w:sz w:val="24"/>
        </w:rPr>
        <w:t xml:space="preserve">采 购 人： </w:t>
      </w:r>
    </w:p>
    <w:p w14:paraId="3EE8C5D6">
      <w:pPr>
        <w:pageBreakBefore w:val="0"/>
        <w:overflowPunct/>
        <w:topLinePunct w:val="0"/>
        <w:bidi w:val="0"/>
        <w:spacing w:before="120" w:line="360" w:lineRule="auto"/>
        <w:ind w:firstLine="1928" w:firstLineChars="800"/>
        <w:rPr>
          <w:rFonts w:hint="eastAsia" w:ascii="仿宋_GB2312" w:hAnsi="仿宋_GB2312" w:eastAsia="仿宋_GB2312" w:cs="仿宋_GB2312"/>
          <w:b/>
          <w:bCs/>
          <w:color w:val="auto"/>
          <w:sz w:val="24"/>
          <w:u w:val="single"/>
        </w:rPr>
      </w:pPr>
      <w:r>
        <w:rPr>
          <w:rFonts w:hint="eastAsia" w:ascii="仿宋_GB2312" w:hAnsi="仿宋_GB2312" w:eastAsia="仿宋_GB2312" w:cs="仿宋_GB2312"/>
          <w:b/>
          <w:bCs/>
          <w:color w:val="auto"/>
          <w:sz w:val="24"/>
        </w:rPr>
        <w:t>供 应 商：</w:t>
      </w:r>
    </w:p>
    <w:p w14:paraId="6AF83072">
      <w:pPr>
        <w:pageBreakBefore w:val="0"/>
        <w:overflowPunct/>
        <w:topLinePunct w:val="0"/>
        <w:bidi w:val="0"/>
        <w:spacing w:line="360" w:lineRule="auto"/>
        <w:ind w:firstLine="1928" w:firstLineChars="800"/>
        <w:rPr>
          <w:rFonts w:hint="eastAsia" w:ascii="仿宋_GB2312" w:hAnsi="仿宋_GB2312" w:eastAsia="仿宋_GB2312" w:cs="仿宋_GB2312"/>
          <w:b/>
          <w:bCs/>
          <w:color w:val="auto"/>
          <w:sz w:val="24"/>
        </w:rPr>
      </w:pPr>
    </w:p>
    <w:p w14:paraId="4BF17009">
      <w:pPr>
        <w:pageBreakBefore w:val="0"/>
        <w:overflowPunct/>
        <w:topLinePunct w:val="0"/>
        <w:bidi w:val="0"/>
        <w:spacing w:line="360" w:lineRule="auto"/>
        <w:ind w:firstLine="1928" w:firstLineChars="8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签署日期：     年    月    日</w:t>
      </w:r>
    </w:p>
    <w:p w14:paraId="7F3245E6">
      <w:pPr>
        <w:pageBreakBefore w:val="0"/>
        <w:overflowPunct/>
        <w:topLinePunct w:val="0"/>
        <w:bidi w:val="0"/>
        <w:spacing w:before="120" w:beforeLines="50" w:line="360" w:lineRule="auto"/>
        <w:jc w:val="center"/>
        <w:outlineLvl w:val="1"/>
        <w:rPr>
          <w:rFonts w:hint="eastAsia" w:ascii="仿宋_GB2312" w:hAnsi="仿宋_GB2312" w:eastAsia="仿宋_GB2312" w:cs="仿宋_GB2312"/>
          <w:b/>
          <w:bCs/>
          <w:color w:val="auto"/>
          <w:sz w:val="24"/>
        </w:rPr>
      </w:pPr>
      <w:bookmarkStart w:id="5" w:name="_Toc233435953"/>
      <w:bookmarkStart w:id="6" w:name="_Toc356927946"/>
      <w:r>
        <w:rPr>
          <w:rFonts w:hint="eastAsia" w:ascii="仿宋_GB2312" w:hAnsi="仿宋_GB2312" w:eastAsia="仿宋_GB2312" w:cs="仿宋_GB2312"/>
          <w:color w:val="auto"/>
          <w:sz w:val="24"/>
        </w:rPr>
        <w:br w:type="page"/>
      </w:r>
      <w:bookmarkEnd w:id="5"/>
      <w:bookmarkEnd w:id="6"/>
      <w:r>
        <w:rPr>
          <w:rFonts w:hint="eastAsia" w:ascii="仿宋_GB2312" w:hAnsi="仿宋_GB2312" w:eastAsia="仿宋_GB2312" w:cs="仿宋_GB2312"/>
          <w:b/>
          <w:bCs/>
          <w:color w:val="auto"/>
          <w:sz w:val="24"/>
        </w:rPr>
        <w:t>第一部分  协议书</w:t>
      </w:r>
    </w:p>
    <w:p w14:paraId="4958CECC">
      <w:pPr>
        <w:pageBreakBefore w:val="0"/>
        <w:overflowPunct/>
        <w:topLinePunct w:val="0"/>
        <w:bidi w:val="0"/>
        <w:spacing w:before="120" w:beforeLines="50" w:line="360" w:lineRule="auto"/>
        <w:jc w:val="center"/>
        <w:outlineLvl w:val="2"/>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（主要条款）</w:t>
      </w:r>
    </w:p>
    <w:p w14:paraId="00BAB9CD">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b/>
          <w:color w:val="auto"/>
          <w:sz w:val="24"/>
        </w:rPr>
      </w:pPr>
    </w:p>
    <w:p w14:paraId="421CC13C">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采购人：</w:t>
      </w:r>
      <w:r>
        <w:rPr>
          <w:rFonts w:hint="eastAsia" w:ascii="仿宋_GB2312" w:hAnsi="仿宋_GB2312" w:eastAsia="仿宋_GB2312" w:cs="仿宋_GB2312"/>
          <w:b/>
          <w:color w:val="auto"/>
          <w:sz w:val="24"/>
          <w:u w:val="single"/>
        </w:rPr>
        <w:t xml:space="preserve">                                   </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b/>
          <w:color w:val="auto"/>
          <w:sz w:val="24"/>
        </w:rPr>
        <w:t xml:space="preserve">   </w:t>
      </w:r>
    </w:p>
    <w:p w14:paraId="4D157DC8">
      <w:pPr>
        <w:pageBreakBefore w:val="0"/>
        <w:overflowPunct/>
        <w:topLinePunct w:val="0"/>
        <w:bidi w:val="0"/>
        <w:adjustRightInd w:val="0"/>
        <w:snapToGrid w:val="0"/>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供应商：</w:t>
      </w:r>
      <w:r>
        <w:rPr>
          <w:rFonts w:hint="eastAsia" w:ascii="仿宋_GB2312" w:hAnsi="仿宋_GB2312" w:eastAsia="仿宋_GB2312" w:cs="仿宋_GB2312"/>
          <w:b/>
          <w:color w:val="auto"/>
          <w:sz w:val="24"/>
          <w:u w:val="single"/>
        </w:rPr>
        <w:t xml:space="preserve">                                   </w:t>
      </w:r>
      <w:r>
        <w:rPr>
          <w:rFonts w:hint="eastAsia" w:ascii="仿宋_GB2312" w:hAnsi="仿宋_GB2312" w:eastAsia="仿宋_GB2312" w:cs="仿宋_GB2312"/>
          <w:color w:val="auto"/>
          <w:sz w:val="24"/>
          <w:u w:val="single"/>
        </w:rPr>
        <w:t xml:space="preserve">   </w:t>
      </w:r>
    </w:p>
    <w:p w14:paraId="12D4D2E4">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根据《中华人民共和国民法典》及其他有关法律、法规，遵循平等、自愿、公平和诚信的原则，双方就下述项目范围与相关服务事项协商一致，订立本合同。</w:t>
      </w:r>
    </w:p>
    <w:p w14:paraId="4D335ECB">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一、项目概况</w:t>
      </w:r>
    </w:p>
    <w:p w14:paraId="777AC77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项目名称：</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7688C162">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项目地点：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2FEC8276">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项目规模：</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10D8DEA0">
      <w:pPr>
        <w:pageBreakBefore w:val="0"/>
        <w:overflowPunct/>
        <w:topLinePunct w:val="0"/>
        <w:bidi w:val="0"/>
        <w:adjustRightInd w:val="0"/>
        <w:snapToGrid w:val="0"/>
        <w:spacing w:line="360" w:lineRule="auto"/>
        <w:ind w:firstLine="475" w:firstLineChars="198"/>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 项目内容：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0D4BB6AA">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二、组成本合同的文件</w:t>
      </w:r>
    </w:p>
    <w:p w14:paraId="1DF10EF4">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协议书；</w:t>
      </w:r>
    </w:p>
    <w:p w14:paraId="706E604B">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成交通知书、磋商响应文件、澄清、补充文件（或委托书）；</w:t>
      </w:r>
    </w:p>
    <w:p w14:paraId="2CEB47D0">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本合同签订后，双方依法签订的补充协议、备忘录也是本合同文件的组成部分。</w:t>
      </w:r>
    </w:p>
    <w:p w14:paraId="53B4ED2B">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三、签约金额</w:t>
      </w:r>
    </w:p>
    <w:p w14:paraId="0AD56D89">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签约金额（大写）：</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w:t>
      </w:r>
    </w:p>
    <w:p w14:paraId="458798DD">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合同总价包括：人工费、材料费、设计费、管理费、利润、税金、保险的一切费用、税费风险，最终结算以实际审计为准。</w:t>
      </w:r>
    </w:p>
    <w:p w14:paraId="6521BA79">
      <w:pPr>
        <w:pageBreakBefore w:val="0"/>
        <w:overflowPunct/>
        <w:topLinePunct w:val="0"/>
        <w:bidi w:val="0"/>
        <w:adjustRightInd w:val="0"/>
        <w:snapToGrid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四、结算方式</w:t>
      </w:r>
    </w:p>
    <w:p w14:paraId="71119AFB">
      <w:pPr>
        <w:pageBreakBefore w:val="0"/>
        <w:overflowPunct/>
        <w:topLinePunct w:val="0"/>
        <w:bidi w:val="0"/>
        <w:adjustRightInd w:val="0"/>
        <w:snapToGrid w:val="0"/>
        <w:spacing w:line="360" w:lineRule="auto"/>
        <w:outlineLvl w:val="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付款方式：</w:t>
      </w:r>
    </w:p>
    <w:p w14:paraId="71B6104B">
      <w:pPr>
        <w:pageBreakBefore w:val="0"/>
        <w:overflowPunct/>
        <w:topLinePunct w:val="0"/>
        <w:bidi w:val="0"/>
        <w:adjustRightInd w:val="0"/>
        <w:snapToGrid w:val="0"/>
        <w:spacing w:line="360" w:lineRule="auto"/>
        <w:outlineLvl w:val="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1、进度款，签订合同后，达到付款条件起10个工作日内，支付合同总金额的30.0%；</w:t>
      </w:r>
    </w:p>
    <w:p w14:paraId="6467C64E">
      <w:pPr>
        <w:pageBreakBefore w:val="0"/>
        <w:overflowPunct/>
        <w:topLinePunct w:val="0"/>
        <w:bidi w:val="0"/>
        <w:adjustRightInd w:val="0"/>
        <w:snapToGrid w:val="0"/>
        <w:spacing w:line="360" w:lineRule="auto"/>
        <w:outlineLvl w:val="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2、进度款，外业核实完成后，达到付款条件起10个工作日内，支付合同总金额的30.0%；</w:t>
      </w:r>
    </w:p>
    <w:p w14:paraId="07F60E94">
      <w:pPr>
        <w:pageBreakBefore w:val="0"/>
        <w:overflowPunct/>
        <w:topLinePunct w:val="0"/>
        <w:bidi w:val="0"/>
        <w:adjustRightInd w:val="0"/>
        <w:snapToGrid w:val="0"/>
        <w:spacing w:line="360" w:lineRule="auto"/>
        <w:outlineLvl w:val="2"/>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3、进度款，成果通过省级审核、完成数据库汇交并确认合格后，达到付款条件起10个工作日内，支付合同总金额的40.0%。</w:t>
      </w:r>
    </w:p>
    <w:p w14:paraId="53DE4791">
      <w:pPr>
        <w:pageBreakBefore w:val="0"/>
        <w:overflowPunct/>
        <w:topLinePunct w:val="0"/>
        <w:bidi w:val="0"/>
        <w:adjustRightInd w:val="0"/>
        <w:snapToGrid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五、期限</w:t>
      </w:r>
    </w:p>
    <w:p w14:paraId="0D3AC858">
      <w:pPr>
        <w:pageBreakBefore w:val="0"/>
        <w:overflowPunct/>
        <w:topLinePunct w:val="0"/>
        <w:bidi w:val="0"/>
        <w:spacing w:line="360" w:lineRule="auto"/>
        <w:outlineLvl w:val="2"/>
        <w:rPr>
          <w:rFonts w:hint="eastAsia" w:ascii="仿宋_GB2312" w:hAnsi="仿宋_GB2312" w:eastAsia="仿宋_GB2312" w:cs="仿宋_GB2312"/>
          <w:bCs/>
          <w:color w:val="auto"/>
          <w:sz w:val="24"/>
          <w:lang w:eastAsia="zh-CN"/>
        </w:rPr>
      </w:pPr>
      <w:r>
        <w:rPr>
          <w:rFonts w:hint="eastAsia" w:ascii="仿宋_GB2312" w:hAnsi="仿宋_GB2312" w:eastAsia="仿宋_GB2312" w:cs="仿宋_GB2312"/>
          <w:bCs/>
          <w:color w:val="auto"/>
          <w:sz w:val="24"/>
          <w:lang w:eastAsia="zh-CN"/>
        </w:rPr>
        <w:t>自合同签订之日起60日历天内完成全部调查、编制、汇交工作并通过验收。</w:t>
      </w:r>
    </w:p>
    <w:p w14:paraId="32F4C6D0">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六、双方承诺</w:t>
      </w:r>
    </w:p>
    <w:p w14:paraId="5C43C66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供应商向采购人承诺，按照本合同约定提供相关服务。</w:t>
      </w:r>
    </w:p>
    <w:p w14:paraId="3B73DB5A">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采购人向供应商承诺，按照本合同约定支付服务款项。</w:t>
      </w:r>
    </w:p>
    <w:p w14:paraId="0C6021B6">
      <w:pPr>
        <w:pageBreakBefore w:val="0"/>
        <w:tabs>
          <w:tab w:val="left" w:pos="840"/>
        </w:tabs>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七、内容及要求：</w:t>
      </w:r>
    </w:p>
    <w:p w14:paraId="47575955">
      <w:pPr>
        <w:pageBreakBefore w:val="0"/>
        <w:tabs>
          <w:tab w:val="left" w:pos="840"/>
        </w:tabs>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即交付的</w:t>
      </w:r>
      <w:r>
        <w:rPr>
          <w:rFonts w:hint="eastAsia" w:ascii="仿宋_GB2312" w:hAnsi="仿宋_GB2312" w:eastAsia="仿宋_GB2312" w:cs="仿宋_GB2312"/>
          <w:color w:val="auto"/>
          <w:sz w:val="24"/>
          <w:szCs w:val="24"/>
        </w:rPr>
        <w:t>产品、服务内容、</w:t>
      </w:r>
      <w:r>
        <w:rPr>
          <w:rFonts w:hint="eastAsia" w:ascii="仿宋_GB2312" w:hAnsi="仿宋_GB2312" w:eastAsia="仿宋_GB2312" w:cs="仿宋_GB2312"/>
          <w:color w:val="auto"/>
          <w:sz w:val="24"/>
        </w:rPr>
        <w:t>服务期限与磋商响应文件所指明的，或者与本合同所指明的内容相一致。（附清单）</w:t>
      </w:r>
    </w:p>
    <w:p w14:paraId="01E36A6C">
      <w:pPr>
        <w:pageBreakBefore w:val="0"/>
        <w:overflowPunct/>
        <w:topLinePunct w:val="0"/>
        <w:bidi w:val="0"/>
        <w:spacing w:line="360" w:lineRule="auto"/>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八、项目实施地点：</w:t>
      </w:r>
      <w:r>
        <w:rPr>
          <w:rFonts w:hint="eastAsia" w:ascii="仿宋_GB2312" w:hAnsi="仿宋_GB2312" w:eastAsia="仿宋_GB2312" w:cs="仿宋_GB2312"/>
          <w:color w:val="auto"/>
          <w:sz w:val="24"/>
          <w:szCs w:val="24"/>
        </w:rPr>
        <w:t>采购人指定地点。</w:t>
      </w:r>
    </w:p>
    <w:p w14:paraId="539986AC">
      <w:pPr>
        <w:pageBreakBefore w:val="0"/>
        <w:overflowPunct/>
        <w:topLinePunct w:val="0"/>
        <w:bidi w:val="0"/>
        <w:spacing w:line="360" w:lineRule="auto"/>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九、质量保证：</w:t>
      </w:r>
    </w:p>
    <w:p w14:paraId="627EB5FB">
      <w:pPr>
        <w:pageBreakBefore w:val="0"/>
        <w:overflowPunct/>
        <w:topLinePunct w:val="0"/>
        <w:bidi w:val="0"/>
        <w:spacing w:line="360" w:lineRule="auto"/>
        <w:ind w:firstLine="480" w:firstLineChars="200"/>
        <w:rPr>
          <w:rFonts w:hint="eastAsia" w:ascii="仿宋_GB2312" w:hAnsi="仿宋_GB2312" w:eastAsia="仿宋_GB2312" w:cs="仿宋_GB2312"/>
          <w:b w:val="0"/>
          <w:bCs w:val="0"/>
          <w:color w:val="auto"/>
          <w:sz w:val="24"/>
          <w:szCs w:val="24"/>
          <w:lang w:val="en-US" w:eastAsia="zh-CN" w:bidi="ar-SA"/>
        </w:rPr>
      </w:pPr>
      <w:r>
        <w:rPr>
          <w:rFonts w:hint="eastAsia" w:ascii="仿宋_GB2312" w:hAnsi="仿宋_GB2312" w:eastAsia="仿宋_GB2312" w:cs="仿宋_GB2312"/>
          <w:b w:val="0"/>
          <w:bCs w:val="0"/>
          <w:color w:val="auto"/>
          <w:sz w:val="24"/>
          <w:szCs w:val="24"/>
          <w:lang w:val="en-US" w:eastAsia="zh-CN" w:bidi="ar-SA"/>
        </w:rPr>
        <w:t>1. 成果交付要求</w:t>
      </w:r>
    </w:p>
    <w:p w14:paraId="7D7F35F2">
      <w:pPr>
        <w:pageBreakBefore w:val="0"/>
        <w:overflowPunct/>
        <w:topLinePunct w:val="0"/>
        <w:bidi w:val="0"/>
        <w:spacing w:line="360" w:lineRule="auto"/>
        <w:rPr>
          <w:rFonts w:hint="eastAsia" w:ascii="仿宋_GB2312" w:hAnsi="仿宋_GB2312" w:eastAsia="仿宋_GB2312" w:cs="仿宋_GB2312"/>
          <w:b w:val="0"/>
          <w:bCs w:val="0"/>
          <w:color w:val="auto"/>
          <w:sz w:val="24"/>
          <w:szCs w:val="24"/>
          <w:lang w:val="en-US" w:eastAsia="zh-CN" w:bidi="ar-SA"/>
        </w:rPr>
      </w:pPr>
      <w:r>
        <w:rPr>
          <w:rFonts w:hint="eastAsia" w:ascii="仿宋_GB2312" w:hAnsi="仿宋_GB2312" w:eastAsia="仿宋_GB2312" w:cs="仿宋_GB2312"/>
          <w:b w:val="0"/>
          <w:bCs w:val="0"/>
          <w:color w:val="auto"/>
          <w:sz w:val="24"/>
          <w:szCs w:val="24"/>
          <w:lang w:val="en-US" w:eastAsia="zh-CN" w:bidi="ar-SA"/>
        </w:rPr>
        <w:t>①纸质成果：摸底调查报告、各类统计表各纸质版4份；</w:t>
      </w:r>
    </w:p>
    <w:p w14:paraId="2DAE46B2">
      <w:pPr>
        <w:pageBreakBefore w:val="0"/>
        <w:overflowPunct/>
        <w:topLinePunct w:val="0"/>
        <w:bidi w:val="0"/>
        <w:spacing w:line="360" w:lineRule="auto"/>
        <w:rPr>
          <w:rFonts w:hint="eastAsia" w:ascii="仿宋_GB2312" w:hAnsi="仿宋_GB2312" w:eastAsia="仿宋_GB2312" w:cs="仿宋_GB2312"/>
          <w:b w:val="0"/>
          <w:bCs w:val="0"/>
          <w:color w:val="auto"/>
          <w:sz w:val="24"/>
          <w:szCs w:val="24"/>
          <w:lang w:val="en-US" w:eastAsia="zh-CN" w:bidi="ar-SA"/>
        </w:rPr>
      </w:pPr>
      <w:r>
        <w:rPr>
          <w:rFonts w:hint="eastAsia" w:ascii="仿宋_GB2312" w:hAnsi="仿宋_GB2312" w:eastAsia="仿宋_GB2312" w:cs="仿宋_GB2312"/>
          <w:b w:val="0"/>
          <w:bCs w:val="0"/>
          <w:color w:val="auto"/>
          <w:sz w:val="24"/>
          <w:szCs w:val="24"/>
          <w:lang w:val="en-US" w:eastAsia="zh-CN" w:bidi="ar-SA"/>
        </w:rPr>
        <w:t>②电子成果：矢量数据、表格、报告全套电子版2 套（U 盘），格式符合国土变更调查数据库要求。</w:t>
      </w:r>
    </w:p>
    <w:p w14:paraId="41D8258E">
      <w:pPr>
        <w:pageBreakBefore w:val="0"/>
        <w:overflowPunct/>
        <w:topLinePunct w:val="0"/>
        <w:bidi w:val="0"/>
        <w:spacing w:line="360" w:lineRule="auto"/>
        <w:ind w:firstLine="480" w:firstLineChars="200"/>
        <w:rPr>
          <w:rFonts w:hint="eastAsia" w:ascii="仿宋_GB2312" w:hAnsi="仿宋_GB2312" w:eastAsia="仿宋_GB2312" w:cs="仿宋_GB2312"/>
          <w:b w:val="0"/>
          <w:bCs w:val="0"/>
          <w:color w:val="auto"/>
          <w:sz w:val="24"/>
          <w:szCs w:val="24"/>
          <w:lang w:val="en-US" w:eastAsia="zh-CN" w:bidi="ar-SA"/>
        </w:rPr>
      </w:pPr>
      <w:r>
        <w:rPr>
          <w:rFonts w:hint="eastAsia" w:ascii="仿宋_GB2312" w:hAnsi="仿宋_GB2312" w:eastAsia="仿宋_GB2312" w:cs="仿宋_GB2312"/>
          <w:b w:val="0"/>
          <w:bCs w:val="0"/>
          <w:color w:val="auto"/>
          <w:sz w:val="24"/>
          <w:szCs w:val="24"/>
          <w:lang w:val="en-US" w:eastAsia="zh-CN" w:bidi="ar-SA"/>
        </w:rPr>
        <w:t>2. 质量验收标准</w:t>
      </w:r>
    </w:p>
    <w:p w14:paraId="436C32D4">
      <w:pPr>
        <w:pageBreakBefore w:val="0"/>
        <w:overflowPunct/>
        <w:topLinePunct w:val="0"/>
        <w:bidi w:val="0"/>
        <w:spacing w:line="360" w:lineRule="auto"/>
        <w:rPr>
          <w:rFonts w:hint="eastAsia" w:ascii="仿宋_GB2312" w:hAnsi="仿宋_GB2312" w:eastAsia="仿宋_GB2312" w:cs="仿宋_GB2312"/>
          <w:b w:val="0"/>
          <w:bCs w:val="0"/>
          <w:color w:val="auto"/>
          <w:sz w:val="24"/>
          <w:szCs w:val="24"/>
          <w:lang w:val="en-US" w:eastAsia="zh-CN" w:bidi="ar-SA"/>
        </w:rPr>
      </w:pPr>
      <w:r>
        <w:rPr>
          <w:rFonts w:hint="eastAsia" w:ascii="仿宋_GB2312" w:hAnsi="仿宋_GB2312" w:eastAsia="仿宋_GB2312" w:cs="仿宋_GB2312"/>
          <w:b w:val="0"/>
          <w:bCs w:val="0"/>
          <w:color w:val="auto"/>
          <w:sz w:val="24"/>
          <w:szCs w:val="24"/>
          <w:lang w:val="en-US" w:eastAsia="zh-CN" w:bidi="ar-SA"/>
        </w:rPr>
        <w:t>①符合自然资源部、陕西省自然资源厅关于历史流出耕地过渡期恢复方案的全部技术规范；</w:t>
      </w:r>
    </w:p>
    <w:p w14:paraId="038EFBB3">
      <w:pPr>
        <w:pageBreakBefore w:val="0"/>
        <w:overflowPunct/>
        <w:topLinePunct w:val="0"/>
        <w:bidi w:val="0"/>
        <w:spacing w:line="360" w:lineRule="auto"/>
        <w:rPr>
          <w:rFonts w:hint="eastAsia" w:ascii="仿宋_GB2312" w:hAnsi="仿宋_GB2312" w:eastAsia="仿宋_GB2312" w:cs="仿宋_GB2312"/>
          <w:b w:val="0"/>
          <w:bCs w:val="0"/>
          <w:color w:val="auto"/>
          <w:sz w:val="24"/>
          <w:szCs w:val="24"/>
          <w:lang w:val="en-US" w:eastAsia="zh-CN" w:bidi="ar-SA"/>
        </w:rPr>
      </w:pPr>
      <w:r>
        <w:rPr>
          <w:rFonts w:hint="eastAsia" w:ascii="仿宋_GB2312" w:hAnsi="仿宋_GB2312" w:eastAsia="仿宋_GB2312" w:cs="仿宋_GB2312"/>
          <w:b w:val="0"/>
          <w:bCs w:val="0"/>
          <w:color w:val="auto"/>
          <w:sz w:val="24"/>
          <w:szCs w:val="24"/>
          <w:lang w:val="en-US" w:eastAsia="zh-CN" w:bidi="ar-SA"/>
        </w:rPr>
        <w:t>②成果通过市级复核、省级审核确认，顺利纳入国土变更调查数据库；</w:t>
      </w:r>
    </w:p>
    <w:p w14:paraId="0D1B2D2A">
      <w:pPr>
        <w:pageBreakBefore w:val="0"/>
        <w:overflowPunct/>
        <w:topLinePunct w:val="0"/>
        <w:bidi w:val="0"/>
        <w:spacing w:line="360" w:lineRule="auto"/>
        <w:rPr>
          <w:rFonts w:hint="eastAsia" w:ascii="仿宋_GB2312" w:hAnsi="仿宋_GB2312" w:eastAsia="仿宋_GB2312" w:cs="仿宋_GB2312"/>
          <w:b w:val="0"/>
          <w:bCs w:val="0"/>
          <w:color w:val="auto"/>
          <w:sz w:val="24"/>
          <w:szCs w:val="24"/>
          <w:lang w:val="en-US" w:eastAsia="zh-CN" w:bidi="ar-SA"/>
        </w:rPr>
      </w:pPr>
      <w:r>
        <w:rPr>
          <w:rFonts w:hint="eastAsia" w:ascii="仿宋_GB2312" w:hAnsi="仿宋_GB2312" w:eastAsia="仿宋_GB2312" w:cs="仿宋_GB2312"/>
          <w:b w:val="0"/>
          <w:bCs w:val="0"/>
          <w:color w:val="auto"/>
          <w:sz w:val="24"/>
          <w:szCs w:val="24"/>
          <w:lang w:val="en-US" w:eastAsia="zh-CN" w:bidi="ar-SA"/>
        </w:rPr>
        <w:t>③数据真实准确、文数库一致，满足耕地保护考核要求。</w:t>
      </w:r>
    </w:p>
    <w:p w14:paraId="689E86ED">
      <w:pPr>
        <w:pageBreakBefore w:val="0"/>
        <w:overflowPunct/>
        <w:topLinePunct w:val="0"/>
        <w:bidi w:val="0"/>
        <w:spacing w:line="360" w:lineRule="auto"/>
        <w:ind w:firstLine="480" w:firstLineChars="200"/>
        <w:rPr>
          <w:rFonts w:hint="eastAsia" w:ascii="仿宋_GB2312" w:hAnsi="仿宋_GB2312" w:eastAsia="仿宋_GB2312" w:cs="仿宋_GB2312"/>
          <w:b w:val="0"/>
          <w:bCs w:val="0"/>
          <w:color w:val="auto"/>
          <w:sz w:val="24"/>
          <w:szCs w:val="24"/>
          <w:lang w:val="en-US" w:eastAsia="zh-CN" w:bidi="ar-SA"/>
        </w:rPr>
      </w:pPr>
      <w:bookmarkStart w:id="7" w:name="_GoBack"/>
      <w:bookmarkEnd w:id="7"/>
      <w:r>
        <w:rPr>
          <w:rFonts w:hint="eastAsia" w:ascii="仿宋_GB2312" w:hAnsi="仿宋_GB2312" w:eastAsia="仿宋_GB2312" w:cs="仿宋_GB2312"/>
          <w:b w:val="0"/>
          <w:bCs w:val="0"/>
          <w:color w:val="auto"/>
          <w:sz w:val="24"/>
          <w:szCs w:val="24"/>
          <w:lang w:val="en-US" w:eastAsia="zh-CN" w:bidi="ar-SA"/>
        </w:rPr>
        <w:t>3. 违约责任</w:t>
      </w:r>
    </w:p>
    <w:p w14:paraId="364CEDF9">
      <w:pPr>
        <w:pageBreakBefore w:val="0"/>
        <w:overflowPunct/>
        <w:topLinePunct w:val="0"/>
        <w:bidi w:val="0"/>
        <w:spacing w:line="360" w:lineRule="auto"/>
        <w:rPr>
          <w:rFonts w:hint="eastAsia" w:ascii="仿宋_GB2312" w:hAnsi="仿宋_GB2312" w:eastAsia="仿宋_GB2312" w:cs="仿宋_GB2312"/>
          <w:b w:val="0"/>
          <w:bCs w:val="0"/>
          <w:color w:val="auto"/>
          <w:sz w:val="24"/>
          <w:szCs w:val="24"/>
          <w:lang w:val="en-US" w:eastAsia="zh-CN" w:bidi="ar-SA"/>
        </w:rPr>
      </w:pPr>
      <w:r>
        <w:rPr>
          <w:rFonts w:hint="eastAsia" w:ascii="仿宋_GB2312" w:hAnsi="仿宋_GB2312" w:eastAsia="仿宋_GB2312" w:cs="仿宋_GB2312"/>
          <w:b w:val="0"/>
          <w:bCs w:val="0"/>
          <w:color w:val="auto"/>
          <w:sz w:val="24"/>
          <w:szCs w:val="24"/>
          <w:lang w:val="en-US" w:eastAsia="zh-CN" w:bidi="ar-SA"/>
        </w:rPr>
        <w:t>供应商未按时间节点完成工作、成果不符合验收标准的，采购方有权扣除相应款项；逾期超过15日的，采购方可解除合同并追究违约责任。</w:t>
      </w:r>
    </w:p>
    <w:p w14:paraId="3C75B527">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十、保密</w:t>
      </w:r>
    </w:p>
    <w:p w14:paraId="665C9B3F">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双方须对工作中了解到的使用单位技术、机密等进行严格保密，不得向他人泄漏。</w:t>
      </w:r>
    </w:p>
    <w:p w14:paraId="09F31BCF">
      <w:pPr>
        <w:pageBreakBefore w:val="0"/>
        <w:overflowPunct/>
        <w:topLinePunct w:val="0"/>
        <w:bidi w:val="0"/>
        <w:spacing w:line="360" w:lineRule="auto"/>
        <w:ind w:firstLine="480" w:firstLineChars="200"/>
        <w:outlineLvl w:val="2"/>
        <w:rPr>
          <w:rFonts w:hint="eastAsia"/>
        </w:rPr>
      </w:pPr>
      <w:r>
        <w:rPr>
          <w:rFonts w:hint="eastAsia" w:ascii="仿宋_GB2312" w:hAnsi="仿宋_GB2312" w:eastAsia="仿宋_GB2312" w:cs="仿宋_GB2312"/>
          <w:bCs/>
          <w:color w:val="auto"/>
          <w:sz w:val="24"/>
          <w:lang w:val="en-US" w:eastAsia="zh-CN" w:bidi="ar-SA"/>
        </w:rPr>
        <w:t>供应商需严格遵守合同规定，执行国家《保密法》及相关保密的法律法规，选派具有良好道德的人员参与和从事本项目工作，教育相关人员恪守职业道德，服从采购人（和实际使用人）的管理，严格遵守采购人（和实际使用人）的保密规定和工作制度，并承担相应的保密责任。项目实施过程中，供应商所收集、产生的所有与本项目相关文档、资料，包括文字、图片、 表格、数字等各种形式所属权均归属采购人（和实际使用人），供应商有义务对所涉及的内容保密，供应商须按照采购人（和实际使用人）要求签署保密协议。供应商自觉接受采购人（和实际使用人）的安全保密监督和管理，供应商如违反安全保密条款，采购人（和实际使用人）将追究其责任，对重大的泄密事件将移交司法部门追究其法律的责任;对供应商泄漏采购人（和实际使用人）资料，造成伤害的，除依据国家法律有关规定追究有关责任人员法律责任外，还将依法承担相应的责任。</w:t>
      </w:r>
    </w:p>
    <w:p w14:paraId="24858A96">
      <w:pPr>
        <w:pageBreakBefore w:val="0"/>
        <w:overflowPunct/>
        <w:topLinePunct w:val="0"/>
        <w:bidi w:val="0"/>
        <w:spacing w:line="360" w:lineRule="auto"/>
        <w:outlineLvl w:val="2"/>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十一、知识产权</w:t>
      </w:r>
    </w:p>
    <w:p w14:paraId="142E8D97">
      <w:pPr>
        <w:pageBreakBefore w:val="0"/>
        <w:overflowPunct/>
        <w:topLinePunct w:val="0"/>
        <w:bidi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供应商应保证投标产品及服务不会出现因第三方提出侵犯其专利权、商标权或其它知识产权而引发法律或经济纠纷，否则由供应商承担全部责任。任何被供应商用于未经授权的商业目的行为所造成的违约或侵权责任由供应商承但。</w:t>
      </w:r>
    </w:p>
    <w:p w14:paraId="1799FED2">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十二、合同争议的解决：</w:t>
      </w:r>
      <w:r>
        <w:rPr>
          <w:rFonts w:hint="eastAsia" w:ascii="仿宋_GB2312" w:hAnsi="仿宋_GB2312" w:eastAsia="仿宋_GB2312" w:cs="仿宋_GB2312"/>
          <w:color w:val="auto"/>
          <w:sz w:val="24"/>
        </w:rPr>
        <w:t>合同执行中发生争议的，当事人双方应协商解决，协商达不成一致时，可向采购人住所地有管辖权的人民法院提请诉讼。</w:t>
      </w:r>
    </w:p>
    <w:p w14:paraId="04853ACF">
      <w:pPr>
        <w:pageBreakBefore w:val="0"/>
        <w:overflowPunct/>
        <w:topLinePunct w:val="0"/>
        <w:bidi w:val="0"/>
        <w:spacing w:line="360" w:lineRule="auto"/>
        <w:outlineLvl w:val="2"/>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十三、</w:t>
      </w:r>
      <w:r>
        <w:rPr>
          <w:rFonts w:hint="eastAsia" w:ascii="仿宋_GB2312" w:hAnsi="仿宋_GB2312" w:eastAsia="仿宋_GB2312" w:cs="仿宋_GB2312"/>
          <w:color w:val="auto"/>
          <w:sz w:val="24"/>
        </w:rPr>
        <w:t>在发生不可抗力情况下的应对措施和解决办法。</w:t>
      </w:r>
    </w:p>
    <w:p w14:paraId="1D934CDC">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lang w:eastAsia="zh-CN"/>
        </w:rPr>
        <w:t>十</w:t>
      </w:r>
      <w:r>
        <w:rPr>
          <w:rFonts w:hint="eastAsia" w:ascii="仿宋_GB2312" w:hAnsi="仿宋_GB2312" w:eastAsia="仿宋_GB2312" w:cs="仿宋_GB2312"/>
          <w:b/>
          <w:color w:val="auto"/>
          <w:sz w:val="24"/>
        </w:rPr>
        <w:t>四、</w:t>
      </w:r>
      <w:r>
        <w:rPr>
          <w:rFonts w:hint="eastAsia" w:ascii="仿宋_GB2312" w:hAnsi="仿宋_GB2312" w:eastAsia="仿宋_GB2312" w:cs="仿宋_GB2312"/>
          <w:color w:val="auto"/>
          <w:sz w:val="24"/>
        </w:rPr>
        <w:t>合同一经签订，不得擅自变更、中止或者终止合同。对确需变更、调整或者中止、终止合同的，应按规定履行相应的手续。</w:t>
      </w:r>
    </w:p>
    <w:p w14:paraId="4C337908">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十五、违约责任：</w:t>
      </w:r>
      <w:r>
        <w:rPr>
          <w:rFonts w:hint="eastAsia" w:ascii="仿宋_GB2312" w:hAnsi="仿宋_GB2312" w:eastAsia="仿宋_GB2312" w:cs="仿宋_GB2312"/>
          <w:color w:val="auto"/>
          <w:sz w:val="24"/>
        </w:rPr>
        <w:t>依据《中华人民共和国民法典》、《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04BFBEE3">
      <w:pPr>
        <w:pageBreakBefore w:val="0"/>
        <w:overflowPunct/>
        <w:topLinePunct w:val="0"/>
        <w:bidi w:val="0"/>
        <w:spacing w:line="360" w:lineRule="auto"/>
        <w:rPr>
          <w:rFonts w:hint="eastAsia" w:ascii="仿宋_GB2312" w:hAnsi="仿宋_GB2312" w:eastAsia="仿宋_GB2312" w:cs="仿宋_GB2312"/>
          <w:color w:val="auto"/>
          <w:sz w:val="24"/>
        </w:rPr>
      </w:pPr>
      <w:r>
        <w:rPr>
          <w:rFonts w:hint="eastAsia" w:ascii="仿宋_GB2312" w:hAnsi="仿宋_GB2312" w:eastAsia="仿宋_GB2312" w:cs="仿宋_GB2312"/>
          <w:b/>
          <w:color w:val="auto"/>
          <w:sz w:val="24"/>
        </w:rPr>
        <w:t>十六、其他（</w:t>
      </w:r>
      <w:r>
        <w:rPr>
          <w:rFonts w:hint="eastAsia" w:ascii="仿宋_GB2312" w:hAnsi="仿宋_GB2312" w:eastAsia="仿宋_GB2312" w:cs="仿宋_GB2312"/>
          <w:color w:val="auto"/>
          <w:sz w:val="24"/>
        </w:rPr>
        <w:t>在合同中具体明确）</w:t>
      </w:r>
    </w:p>
    <w:p w14:paraId="3061ADE4">
      <w:pPr>
        <w:pageBreakBefore w:val="0"/>
        <w:overflowPunct/>
        <w:topLinePunct w:val="0"/>
        <w:bidi w:val="0"/>
        <w:spacing w:line="360" w:lineRule="auto"/>
        <w:rPr>
          <w:rFonts w:hint="eastAsia" w:ascii="仿宋_GB2312" w:hAnsi="仿宋_GB2312" w:eastAsia="仿宋_GB2312" w:cs="仿宋_GB2312"/>
          <w:b/>
          <w:color w:val="auto"/>
          <w:sz w:val="24"/>
        </w:rPr>
      </w:pPr>
      <w:r>
        <w:rPr>
          <w:rFonts w:hint="eastAsia" w:ascii="仿宋_GB2312" w:hAnsi="仿宋_GB2312" w:eastAsia="仿宋_GB2312" w:cs="仿宋_GB2312"/>
          <w:b/>
          <w:color w:val="auto"/>
          <w:sz w:val="24"/>
        </w:rPr>
        <w:t>十七、合同订立</w:t>
      </w:r>
    </w:p>
    <w:p w14:paraId="488F29BD">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订立时间：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年</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月</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日。</w:t>
      </w:r>
    </w:p>
    <w:p w14:paraId="665BCD25">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 订立地点：</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w:t>
      </w:r>
    </w:p>
    <w:p w14:paraId="1C646E85">
      <w:pPr>
        <w:pageBreakBefore w:val="0"/>
        <w:tabs>
          <w:tab w:val="left" w:pos="980"/>
        </w:tabs>
        <w:kinsoku w:val="0"/>
        <w:overflowPunct/>
        <w:topLinePunct w:val="0"/>
        <w:bidi w:val="0"/>
        <w:spacing w:line="360" w:lineRule="auto"/>
        <w:ind w:left="354" w:leftChars="104" w:firstLine="259" w:firstLineChars="10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本合同一式</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份，具有同等法律效力，双方各执</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份，监管部门备案壹份、采购代理机构存档壹份。各方签字盖章后生效，合同执行完毕自动失效（合同的服务承诺则长期有效）。</w:t>
      </w:r>
    </w:p>
    <w:p w14:paraId="2C09115E">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p>
    <w:p w14:paraId="44C1A096">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采购人：</w:t>
      </w:r>
      <w:r>
        <w:rPr>
          <w:rFonts w:hint="eastAsia" w:ascii="仿宋_GB2312" w:hAnsi="仿宋_GB2312" w:eastAsia="仿宋_GB2312" w:cs="仿宋_GB2312"/>
          <w:color w:val="auto"/>
          <w:sz w:val="24"/>
          <w:u w:val="single"/>
        </w:rPr>
        <w:t xml:space="preserve">   （盖章）     </w:t>
      </w:r>
      <w:r>
        <w:rPr>
          <w:rFonts w:hint="eastAsia" w:ascii="仿宋_GB2312" w:hAnsi="仿宋_GB2312" w:eastAsia="仿宋_GB2312" w:cs="仿宋_GB2312"/>
          <w:color w:val="auto"/>
          <w:sz w:val="24"/>
        </w:rPr>
        <w:t xml:space="preserve">           供应商：</w:t>
      </w:r>
      <w:r>
        <w:rPr>
          <w:rFonts w:hint="eastAsia" w:ascii="仿宋_GB2312" w:hAnsi="仿宋_GB2312" w:eastAsia="仿宋_GB2312" w:cs="仿宋_GB2312"/>
          <w:color w:val="auto"/>
          <w:sz w:val="24"/>
          <w:u w:val="single"/>
        </w:rPr>
        <w:t xml:space="preserve">   （盖章）    </w:t>
      </w:r>
    </w:p>
    <w:p w14:paraId="22C3420F">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 xml:space="preserve">地址： </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地址： </w:t>
      </w:r>
      <w:r>
        <w:rPr>
          <w:rFonts w:hint="eastAsia" w:ascii="仿宋_GB2312" w:hAnsi="仿宋_GB2312" w:eastAsia="仿宋_GB2312" w:cs="仿宋_GB2312"/>
          <w:color w:val="auto"/>
          <w:sz w:val="24"/>
          <w:u w:val="single"/>
        </w:rPr>
        <w:t xml:space="preserve">                      </w:t>
      </w:r>
    </w:p>
    <w:p w14:paraId="169773AE">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邮政编码：</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邮政编码：           </w:t>
      </w:r>
      <w:r>
        <w:rPr>
          <w:rFonts w:hint="eastAsia" w:ascii="仿宋_GB2312" w:hAnsi="仿宋_GB2312" w:eastAsia="仿宋_GB2312" w:cs="仿宋_GB2312"/>
          <w:color w:val="auto"/>
          <w:sz w:val="24"/>
          <w:u w:val="single"/>
        </w:rPr>
        <w:t xml:space="preserve"> </w:t>
      </w:r>
    </w:p>
    <w:p w14:paraId="26A65C8F">
      <w:pPr>
        <w:pageBreakBefore w:val="0"/>
        <w:overflowPunct/>
        <w:topLinePunct w:val="0"/>
        <w:bidi w:val="0"/>
        <w:adjustRightInd w:val="0"/>
        <w:snapToGrid w:val="0"/>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法定代表人或其授权                 法定代表人或其授权</w:t>
      </w:r>
    </w:p>
    <w:p w14:paraId="197F6207">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的代理人：</w:t>
      </w:r>
      <w:r>
        <w:rPr>
          <w:rFonts w:hint="eastAsia" w:ascii="仿宋_GB2312" w:hAnsi="仿宋_GB2312" w:eastAsia="仿宋_GB2312" w:cs="仿宋_GB2312"/>
          <w:color w:val="auto"/>
          <w:sz w:val="24"/>
          <w:u w:val="single"/>
        </w:rPr>
        <w:t xml:space="preserve">（签字）      </w:t>
      </w:r>
      <w:r>
        <w:rPr>
          <w:rFonts w:hint="eastAsia" w:ascii="仿宋_GB2312" w:hAnsi="仿宋_GB2312" w:eastAsia="仿宋_GB2312" w:cs="仿宋_GB2312"/>
          <w:color w:val="auto"/>
          <w:sz w:val="24"/>
        </w:rPr>
        <w:t xml:space="preserve">           的代理人：</w:t>
      </w:r>
      <w:r>
        <w:rPr>
          <w:rFonts w:hint="eastAsia" w:ascii="仿宋_GB2312" w:hAnsi="仿宋_GB2312" w:eastAsia="仿宋_GB2312" w:cs="仿宋_GB2312"/>
          <w:color w:val="auto"/>
          <w:sz w:val="24"/>
          <w:u w:val="single"/>
        </w:rPr>
        <w:t xml:space="preserve">（签字）          </w:t>
      </w:r>
    </w:p>
    <w:p w14:paraId="79753169">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开户银行：</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开户银行：</w:t>
      </w:r>
      <w:r>
        <w:rPr>
          <w:rFonts w:hint="eastAsia" w:ascii="仿宋_GB2312" w:hAnsi="仿宋_GB2312" w:eastAsia="仿宋_GB2312" w:cs="仿宋_GB2312"/>
          <w:color w:val="auto"/>
          <w:sz w:val="24"/>
          <w:u w:val="single"/>
        </w:rPr>
        <w:t xml:space="preserve">                  </w:t>
      </w:r>
    </w:p>
    <w:p w14:paraId="74035830">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账号：</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账号：</w:t>
      </w:r>
      <w:r>
        <w:rPr>
          <w:rFonts w:hint="eastAsia" w:ascii="仿宋_GB2312" w:hAnsi="仿宋_GB2312" w:eastAsia="仿宋_GB2312" w:cs="仿宋_GB2312"/>
          <w:color w:val="auto"/>
          <w:sz w:val="24"/>
          <w:u w:val="single"/>
        </w:rPr>
        <w:t xml:space="preserve">                       </w:t>
      </w:r>
    </w:p>
    <w:p w14:paraId="47E0217B">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电话：</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电话：</w:t>
      </w:r>
      <w:r>
        <w:rPr>
          <w:rFonts w:hint="eastAsia" w:ascii="仿宋_GB2312" w:hAnsi="仿宋_GB2312" w:eastAsia="仿宋_GB2312" w:cs="仿宋_GB2312"/>
          <w:color w:val="auto"/>
          <w:sz w:val="24"/>
          <w:u w:val="single"/>
        </w:rPr>
        <w:t xml:space="preserve">                       </w:t>
      </w:r>
    </w:p>
    <w:p w14:paraId="4F3E1D8D">
      <w:pPr>
        <w:pageBreakBefore w:val="0"/>
        <w:overflowPunct/>
        <w:topLinePunct w:val="0"/>
        <w:bidi w:val="0"/>
        <w:adjustRightInd w:val="0"/>
        <w:snapToGrid w:val="0"/>
        <w:spacing w:line="360" w:lineRule="auto"/>
        <w:ind w:firstLine="475" w:firstLineChars="198"/>
        <w:rPr>
          <w:rFonts w:hint="eastAsia" w:ascii="仿宋_GB2312" w:hAnsi="仿宋_GB2312" w:eastAsia="仿宋_GB2312" w:cs="仿宋_GB2312"/>
          <w:color w:val="auto"/>
          <w:sz w:val="24"/>
          <w:u w:val="single"/>
        </w:rPr>
      </w:pPr>
      <w:r>
        <w:rPr>
          <w:rFonts w:hint="eastAsia" w:ascii="仿宋_GB2312" w:hAnsi="仿宋_GB2312" w:eastAsia="仿宋_GB2312" w:cs="仿宋_GB2312"/>
          <w:color w:val="auto"/>
          <w:sz w:val="24"/>
        </w:rPr>
        <w:t>电子邮箱：</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电子邮箱：</w:t>
      </w:r>
      <w:r>
        <w:rPr>
          <w:rFonts w:hint="eastAsia" w:ascii="仿宋_GB2312" w:hAnsi="仿宋_GB2312" w:eastAsia="仿宋_GB2312" w:cs="仿宋_GB2312"/>
          <w:color w:val="auto"/>
          <w:sz w:val="24"/>
          <w:u w:val="single"/>
        </w:rPr>
        <w:t xml:space="preserve">                 </w:t>
      </w:r>
      <w:bookmarkEnd w:id="0"/>
      <w:bookmarkEnd w:id="1"/>
      <w:bookmarkEnd w:id="2"/>
    </w:p>
    <w:p w14:paraId="5D11506E">
      <w:pPr>
        <w:pageBreakBefore w:val="0"/>
        <w:overflowPunct/>
        <w:topLinePunct w:val="0"/>
        <w:bidi w:val="0"/>
        <w:adjustRightInd w:val="0"/>
        <w:snapToGrid w:val="0"/>
        <w:spacing w:line="360" w:lineRule="auto"/>
        <w:rPr>
          <w:rFonts w:hint="eastAsia" w:ascii="仿宋_GB2312" w:hAnsi="仿宋_GB2312" w:eastAsia="仿宋_GB2312" w:cs="仿宋_GB2312"/>
          <w:color w:val="auto"/>
          <w:sz w:val="24"/>
          <w:u w:val="single"/>
        </w:rPr>
      </w:pPr>
    </w:p>
    <w:p w14:paraId="7C2753AF">
      <w:pPr>
        <w:pageBreakBefore w:val="0"/>
        <w:overflowPunct/>
        <w:topLinePunct w:val="0"/>
        <w:bidi w:val="0"/>
        <w:adjustRightInd w:val="0"/>
        <w:snapToGrid w:val="0"/>
        <w:spacing w:line="360" w:lineRule="auto"/>
        <w:rPr>
          <w:rFonts w:hint="eastAsia" w:ascii="仿宋_GB2312" w:hAnsi="仿宋_GB2312" w:eastAsia="仿宋_GB2312" w:cs="仿宋_GB2312"/>
          <w:color w:val="auto"/>
          <w:sz w:val="24"/>
          <w:u w:val="single"/>
        </w:rPr>
      </w:pPr>
    </w:p>
    <w:p w14:paraId="0A808DC4">
      <w:pPr>
        <w:pageBreakBefore w:val="0"/>
        <w:overflowPunct/>
        <w:topLinePunct w:val="0"/>
        <w:bidi w:val="0"/>
        <w:adjustRightInd w:val="0"/>
        <w:snapToGrid w:val="0"/>
        <w:spacing w:line="360" w:lineRule="auto"/>
        <w:ind w:firstLine="475" w:firstLineChars="198"/>
        <w:jc w:val="center"/>
      </w:pPr>
      <w:r>
        <w:rPr>
          <w:rFonts w:hint="eastAsia" w:ascii="仿宋_GB2312" w:hAnsi="仿宋_GB2312" w:eastAsia="仿宋_GB2312" w:cs="仿宋_GB2312"/>
          <w:color w:val="auto"/>
          <w:sz w:val="24"/>
        </w:rPr>
        <w:t>（合同模板供参考）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4Y2ZlYjFmMjQ5ZTdhNjY4NWE1MDJlN2NlMmU2ZjAifQ=="/>
  </w:docVars>
  <w:rsids>
    <w:rsidRoot w:val="1A5E2F46"/>
    <w:rsid w:val="01CE3EF0"/>
    <w:rsid w:val="02032548"/>
    <w:rsid w:val="079E79DA"/>
    <w:rsid w:val="09E162A4"/>
    <w:rsid w:val="0ACE7E4E"/>
    <w:rsid w:val="0E0407B3"/>
    <w:rsid w:val="1A5E2F46"/>
    <w:rsid w:val="212136FE"/>
    <w:rsid w:val="234436D4"/>
    <w:rsid w:val="27941CEE"/>
    <w:rsid w:val="2D80217C"/>
    <w:rsid w:val="2FAE155A"/>
    <w:rsid w:val="37B01AE8"/>
    <w:rsid w:val="3E2D5039"/>
    <w:rsid w:val="43315CC6"/>
    <w:rsid w:val="474358CD"/>
    <w:rsid w:val="4BEE2AA6"/>
    <w:rsid w:val="4DFC4D5C"/>
    <w:rsid w:val="4E8D38D2"/>
    <w:rsid w:val="52F27333"/>
    <w:rsid w:val="53656BCB"/>
    <w:rsid w:val="543F6C02"/>
    <w:rsid w:val="55F222DF"/>
    <w:rsid w:val="59613991"/>
    <w:rsid w:val="65863A08"/>
    <w:rsid w:val="66043D9B"/>
    <w:rsid w:val="68335985"/>
    <w:rsid w:val="69396CAC"/>
    <w:rsid w:val="6C390DFC"/>
    <w:rsid w:val="723D6AC8"/>
    <w:rsid w:val="7332280D"/>
    <w:rsid w:val="73BE0EBE"/>
    <w:rsid w:val="7C7A4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lang w:val="en-US" w:eastAsia="zh-CN" w:bidi="ar-SA"/>
    </w:rPr>
  </w:style>
  <w:style w:type="paragraph" w:styleId="3">
    <w:name w:val="heading 1"/>
    <w:basedOn w:val="1"/>
    <w:next w:val="1"/>
    <w:autoRedefine/>
    <w:qFormat/>
    <w:uiPriority w:val="0"/>
    <w:pPr>
      <w:keepNext/>
      <w:keepLines/>
      <w:spacing w:before="340" w:after="330" w:line="576" w:lineRule="auto"/>
      <w:outlineLvl w:val="0"/>
    </w:pPr>
    <w:rPr>
      <w:rFonts w:ascii="Calibri" w:hAnsi="Calibri"/>
      <w:b/>
      <w:kern w:val="44"/>
      <w:sz w:val="32"/>
    </w:rPr>
  </w:style>
  <w:style w:type="paragraph" w:styleId="2">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autoRedefine/>
    <w:qFormat/>
    <w:uiPriority w:val="0"/>
    <w:pPr>
      <w:spacing w:after="12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1760</Words>
  <Characters>1800</Characters>
  <Lines>0</Lines>
  <Paragraphs>0</Paragraphs>
  <TotalTime>4</TotalTime>
  <ScaleCrop>false</ScaleCrop>
  <LinksUpToDate>false</LinksUpToDate>
  <CharactersWithSpaces>2508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2023-07-20T02:07:00Z</dcterms:created>
  <dc:creator>Administrator</dc:creator>
  <cp:lastModifiedBy>小古</cp:lastModifiedBy>
  <dcterms:modified xsi:type="dcterms:W3CDTF">2026-07-02T05:14:59Z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D9BBC7F5A29A4590A20C70F73C2F2B21_11</vt:lpwstr>
  </property>
  <property fmtid="{D5CDD505-2E9C-101B-9397-08002B2CF9AE}" pid="4" name="KSOTemplateDocerSaveRecord">
    <vt:lpwstr>eyJoZGlkIjoiMjFhNDQ4YjlmODYzZDIwNmFmNzIyNDk1NGExMTdjZjIiLCJ1c2VySWQiOiI1ODExNDgwMzEifQ==</vt:lpwstr>
  </property>
</Properties>
</file>