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738885">
      <w:pPr>
        <w:pStyle w:val="4"/>
        <w:jc w:val="center"/>
      </w:pPr>
      <w:r>
        <w:rPr>
          <w:rFonts w:ascii="仿宋_GB2312" w:hAnsi="仿宋_GB2312" w:eastAsia="仿宋_GB2312" w:cs="仿宋_GB2312"/>
          <w:b/>
          <w:sz w:val="36"/>
        </w:rPr>
        <w:t>第三章 磋商项目技术、服务、商务及其他要求</w:t>
      </w:r>
    </w:p>
    <w:p w14:paraId="0FA1D80B">
      <w:pPr>
        <w:pStyle w:val="4"/>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3862304B">
      <w:pPr>
        <w:pStyle w:val="4"/>
        <w:outlineLvl w:val="2"/>
      </w:pPr>
      <w:r>
        <w:rPr>
          <w:rFonts w:ascii="仿宋_GB2312" w:hAnsi="仿宋_GB2312" w:eastAsia="仿宋_GB2312" w:cs="仿宋_GB2312"/>
          <w:b/>
          <w:sz w:val="28"/>
        </w:rPr>
        <w:t>3.1采购项目概况</w:t>
      </w:r>
    </w:p>
    <w:p w14:paraId="5B0C68B7">
      <w:pPr>
        <w:pStyle w:val="4"/>
        <w:ind w:firstLine="480"/>
      </w:pPr>
      <w:r>
        <w:rPr>
          <w:rFonts w:ascii="仿宋_GB2312" w:hAnsi="仿宋_GB2312" w:eastAsia="仿宋_GB2312" w:cs="仿宋_GB2312"/>
        </w:rPr>
        <w:t>根据《西安市鄠邑区卫生健康局西安市公安局鄠邑分局西安市鄠邑区财政局关于印发〈西安市鄠邑区医院安防系统建设实施方案〉》（2022）16号文件要求，综合考虑新院区规模、功能、业务量，为提升新医院治安管理和防暴处突能力，保证患者的生命财产安全，拟将2026年医院保安服务进行整体外包。</w:t>
      </w:r>
    </w:p>
    <w:p w14:paraId="2D3F0437">
      <w:pPr>
        <w:pStyle w:val="4"/>
        <w:outlineLvl w:val="2"/>
      </w:pPr>
      <w:r>
        <w:rPr>
          <w:rFonts w:ascii="仿宋_GB2312" w:hAnsi="仿宋_GB2312" w:eastAsia="仿宋_GB2312" w:cs="仿宋_GB2312"/>
          <w:b/>
          <w:sz w:val="28"/>
        </w:rPr>
        <w:t>3.2服务内容及服务要求</w:t>
      </w:r>
    </w:p>
    <w:p w14:paraId="46811FA0">
      <w:pPr>
        <w:pStyle w:val="4"/>
        <w:outlineLvl w:val="3"/>
      </w:pPr>
      <w:r>
        <w:rPr>
          <w:rFonts w:ascii="仿宋_GB2312" w:hAnsi="仿宋_GB2312" w:eastAsia="仿宋_GB2312" w:cs="仿宋_GB2312"/>
          <w:b/>
          <w:sz w:val="24"/>
        </w:rPr>
        <w:t>3.2.1服务内容</w:t>
      </w:r>
    </w:p>
    <w:p w14:paraId="2309416A">
      <w:pPr>
        <w:pStyle w:val="4"/>
      </w:pPr>
      <w:r>
        <w:rPr>
          <w:rFonts w:ascii="仿宋_GB2312" w:hAnsi="仿宋_GB2312" w:eastAsia="仿宋_GB2312" w:cs="仿宋_GB2312"/>
        </w:rPr>
        <w:t>采购包1：</w:t>
      </w:r>
    </w:p>
    <w:p w14:paraId="0FA00D90">
      <w:pPr>
        <w:pStyle w:val="4"/>
      </w:pPr>
      <w:r>
        <w:rPr>
          <w:rFonts w:ascii="仿宋_GB2312" w:hAnsi="仿宋_GB2312" w:eastAsia="仿宋_GB2312" w:cs="仿宋_GB2312"/>
        </w:rPr>
        <w:t>采购包预算金额（元）: 683,400.00</w:t>
      </w:r>
    </w:p>
    <w:p w14:paraId="7331D4B3">
      <w:pPr>
        <w:pStyle w:val="4"/>
      </w:pPr>
      <w:r>
        <w:rPr>
          <w:rFonts w:ascii="仿宋_GB2312" w:hAnsi="仿宋_GB2312" w:eastAsia="仿宋_GB2312" w:cs="仿宋_GB2312"/>
        </w:rPr>
        <w:t>采购包最高限价（元）: 683,400.00</w:t>
      </w:r>
    </w:p>
    <w:p w14:paraId="343ED6E8">
      <w:pPr>
        <w:pStyle w:val="4"/>
      </w:pPr>
      <w:r>
        <w:rPr>
          <w:rFonts w:ascii="仿宋_GB2312" w:hAnsi="仿宋_GB2312" w:eastAsia="仿宋_GB2312" w:cs="仿宋_GB2312"/>
        </w:rPr>
        <w:t>供应商报价不允许超过标的金额</w:t>
      </w:r>
    </w:p>
    <w:p w14:paraId="4B628C78">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049131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4E51AB75">
            <w:pPr>
              <w:pStyle w:val="4"/>
            </w:pPr>
            <w:r>
              <w:rPr>
                <w:rFonts w:ascii="仿宋_GB2312" w:hAnsi="仿宋_GB2312" w:eastAsia="仿宋_GB2312" w:cs="仿宋_GB2312"/>
              </w:rPr>
              <w:t>序号</w:t>
            </w:r>
          </w:p>
        </w:tc>
        <w:tc>
          <w:tcPr>
            <w:tcW w:w="755" w:type="dxa"/>
          </w:tcPr>
          <w:p w14:paraId="2DCEF9A6">
            <w:pPr>
              <w:pStyle w:val="4"/>
            </w:pPr>
            <w:r>
              <w:rPr>
                <w:rFonts w:ascii="仿宋_GB2312" w:hAnsi="仿宋_GB2312" w:eastAsia="仿宋_GB2312" w:cs="仿宋_GB2312"/>
              </w:rPr>
              <w:t>标的名称</w:t>
            </w:r>
          </w:p>
        </w:tc>
        <w:tc>
          <w:tcPr>
            <w:tcW w:w="755" w:type="dxa"/>
          </w:tcPr>
          <w:p w14:paraId="4AF5034C">
            <w:pPr>
              <w:pStyle w:val="4"/>
            </w:pPr>
            <w:r>
              <w:rPr>
                <w:rFonts w:ascii="仿宋_GB2312" w:hAnsi="仿宋_GB2312" w:eastAsia="仿宋_GB2312" w:cs="仿宋_GB2312"/>
              </w:rPr>
              <w:t>数量</w:t>
            </w:r>
          </w:p>
        </w:tc>
        <w:tc>
          <w:tcPr>
            <w:tcW w:w="755" w:type="dxa"/>
          </w:tcPr>
          <w:p w14:paraId="718AE26D">
            <w:pPr>
              <w:pStyle w:val="4"/>
            </w:pPr>
            <w:r>
              <w:rPr>
                <w:rFonts w:ascii="仿宋_GB2312" w:hAnsi="仿宋_GB2312" w:eastAsia="仿宋_GB2312" w:cs="仿宋_GB2312"/>
              </w:rPr>
              <w:t>标的金额 （元）</w:t>
            </w:r>
          </w:p>
        </w:tc>
        <w:tc>
          <w:tcPr>
            <w:tcW w:w="755" w:type="dxa"/>
          </w:tcPr>
          <w:p w14:paraId="11AF7D2B">
            <w:pPr>
              <w:pStyle w:val="4"/>
            </w:pPr>
            <w:r>
              <w:rPr>
                <w:rFonts w:ascii="仿宋_GB2312" w:hAnsi="仿宋_GB2312" w:eastAsia="仿宋_GB2312" w:cs="仿宋_GB2312"/>
              </w:rPr>
              <w:t>计量单位</w:t>
            </w:r>
          </w:p>
        </w:tc>
        <w:tc>
          <w:tcPr>
            <w:tcW w:w="755" w:type="dxa"/>
          </w:tcPr>
          <w:p w14:paraId="19FCB502">
            <w:pPr>
              <w:pStyle w:val="4"/>
            </w:pPr>
            <w:r>
              <w:rPr>
                <w:rFonts w:ascii="仿宋_GB2312" w:hAnsi="仿宋_GB2312" w:eastAsia="仿宋_GB2312" w:cs="仿宋_GB2312"/>
              </w:rPr>
              <w:t>所属行业</w:t>
            </w:r>
          </w:p>
        </w:tc>
        <w:tc>
          <w:tcPr>
            <w:tcW w:w="755" w:type="dxa"/>
          </w:tcPr>
          <w:p w14:paraId="173E1574">
            <w:pPr>
              <w:pStyle w:val="4"/>
            </w:pPr>
            <w:r>
              <w:rPr>
                <w:rFonts w:ascii="仿宋_GB2312" w:hAnsi="仿宋_GB2312" w:eastAsia="仿宋_GB2312" w:cs="仿宋_GB2312"/>
              </w:rPr>
              <w:t>是否核心产品</w:t>
            </w:r>
          </w:p>
        </w:tc>
        <w:tc>
          <w:tcPr>
            <w:tcW w:w="755" w:type="dxa"/>
          </w:tcPr>
          <w:p w14:paraId="497DFD19">
            <w:pPr>
              <w:pStyle w:val="4"/>
            </w:pPr>
            <w:r>
              <w:rPr>
                <w:rFonts w:ascii="仿宋_GB2312" w:hAnsi="仿宋_GB2312" w:eastAsia="仿宋_GB2312" w:cs="仿宋_GB2312"/>
              </w:rPr>
              <w:t>是否允许进口产品</w:t>
            </w:r>
          </w:p>
        </w:tc>
        <w:tc>
          <w:tcPr>
            <w:tcW w:w="755" w:type="dxa"/>
          </w:tcPr>
          <w:p w14:paraId="2064652F">
            <w:pPr>
              <w:pStyle w:val="4"/>
            </w:pPr>
            <w:r>
              <w:rPr>
                <w:rFonts w:ascii="仿宋_GB2312" w:hAnsi="仿宋_GB2312" w:eastAsia="仿宋_GB2312" w:cs="仿宋_GB2312"/>
              </w:rPr>
              <w:t>是否属于节能产品</w:t>
            </w:r>
          </w:p>
        </w:tc>
        <w:tc>
          <w:tcPr>
            <w:tcW w:w="755" w:type="dxa"/>
          </w:tcPr>
          <w:p w14:paraId="0D640DED">
            <w:pPr>
              <w:pStyle w:val="4"/>
            </w:pPr>
            <w:r>
              <w:rPr>
                <w:rFonts w:ascii="仿宋_GB2312" w:hAnsi="仿宋_GB2312" w:eastAsia="仿宋_GB2312" w:cs="仿宋_GB2312"/>
              </w:rPr>
              <w:t>是否属于环境标志产品</w:t>
            </w:r>
          </w:p>
        </w:tc>
        <w:tc>
          <w:tcPr>
            <w:tcW w:w="755" w:type="dxa"/>
          </w:tcPr>
          <w:p w14:paraId="06FF6D2B">
            <w:pPr>
              <w:pStyle w:val="4"/>
            </w:pPr>
            <w:r>
              <w:rPr>
                <w:rFonts w:ascii="仿宋_GB2312" w:hAnsi="仿宋_GB2312" w:eastAsia="仿宋_GB2312" w:cs="仿宋_GB2312"/>
              </w:rPr>
              <w:t>是否实施本国产品政策</w:t>
            </w:r>
          </w:p>
        </w:tc>
      </w:tr>
      <w:tr w14:paraId="5130A3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06111DBD">
            <w:pPr>
              <w:pStyle w:val="4"/>
            </w:pPr>
            <w:r>
              <w:rPr>
                <w:rFonts w:ascii="仿宋_GB2312" w:hAnsi="仿宋_GB2312" w:eastAsia="仿宋_GB2312" w:cs="仿宋_GB2312"/>
              </w:rPr>
              <w:t>1</w:t>
            </w:r>
          </w:p>
        </w:tc>
        <w:tc>
          <w:tcPr>
            <w:tcW w:w="755" w:type="dxa"/>
          </w:tcPr>
          <w:p w14:paraId="532BADF1">
            <w:pPr>
              <w:pStyle w:val="4"/>
            </w:pPr>
            <w:r>
              <w:rPr>
                <w:rFonts w:ascii="仿宋_GB2312" w:hAnsi="仿宋_GB2312" w:eastAsia="仿宋_GB2312" w:cs="仿宋_GB2312"/>
              </w:rPr>
              <w:t>保安服务</w:t>
            </w:r>
          </w:p>
        </w:tc>
        <w:tc>
          <w:tcPr>
            <w:tcW w:w="755" w:type="dxa"/>
          </w:tcPr>
          <w:p w14:paraId="37383A75">
            <w:pPr>
              <w:pStyle w:val="4"/>
              <w:jc w:val="right"/>
            </w:pPr>
            <w:r>
              <w:rPr>
                <w:rFonts w:ascii="仿宋_GB2312" w:hAnsi="仿宋_GB2312" w:eastAsia="仿宋_GB2312" w:cs="仿宋_GB2312"/>
              </w:rPr>
              <w:t>1.00</w:t>
            </w:r>
          </w:p>
        </w:tc>
        <w:tc>
          <w:tcPr>
            <w:tcW w:w="755" w:type="dxa"/>
          </w:tcPr>
          <w:p w14:paraId="2BAC9E50">
            <w:pPr>
              <w:pStyle w:val="4"/>
              <w:jc w:val="right"/>
            </w:pPr>
            <w:r>
              <w:rPr>
                <w:rFonts w:ascii="仿宋_GB2312" w:hAnsi="仿宋_GB2312" w:eastAsia="仿宋_GB2312" w:cs="仿宋_GB2312"/>
              </w:rPr>
              <w:t>683,400.00</w:t>
            </w:r>
          </w:p>
        </w:tc>
        <w:tc>
          <w:tcPr>
            <w:tcW w:w="755" w:type="dxa"/>
          </w:tcPr>
          <w:p w14:paraId="12CEE844">
            <w:pPr>
              <w:pStyle w:val="4"/>
            </w:pPr>
            <w:r>
              <w:rPr>
                <w:rFonts w:ascii="仿宋_GB2312" w:hAnsi="仿宋_GB2312" w:eastAsia="仿宋_GB2312" w:cs="仿宋_GB2312"/>
              </w:rPr>
              <w:t>批</w:t>
            </w:r>
          </w:p>
        </w:tc>
        <w:tc>
          <w:tcPr>
            <w:tcW w:w="755" w:type="dxa"/>
          </w:tcPr>
          <w:p w14:paraId="6CED2D03">
            <w:pPr>
              <w:pStyle w:val="4"/>
            </w:pPr>
            <w:r>
              <w:rPr>
                <w:rFonts w:ascii="仿宋_GB2312" w:hAnsi="仿宋_GB2312" w:eastAsia="仿宋_GB2312" w:cs="仿宋_GB2312"/>
              </w:rPr>
              <w:t>租赁和商务服务业</w:t>
            </w:r>
          </w:p>
        </w:tc>
        <w:tc>
          <w:tcPr>
            <w:tcW w:w="755" w:type="dxa"/>
          </w:tcPr>
          <w:p w14:paraId="48A03FCA">
            <w:pPr>
              <w:pStyle w:val="4"/>
            </w:pPr>
            <w:r>
              <w:rPr>
                <w:rFonts w:ascii="仿宋_GB2312" w:hAnsi="仿宋_GB2312" w:eastAsia="仿宋_GB2312" w:cs="仿宋_GB2312"/>
              </w:rPr>
              <w:t>否</w:t>
            </w:r>
          </w:p>
        </w:tc>
        <w:tc>
          <w:tcPr>
            <w:tcW w:w="755" w:type="dxa"/>
          </w:tcPr>
          <w:p w14:paraId="352036D3">
            <w:pPr>
              <w:pStyle w:val="4"/>
            </w:pPr>
            <w:r>
              <w:rPr>
                <w:rFonts w:ascii="仿宋_GB2312" w:hAnsi="仿宋_GB2312" w:eastAsia="仿宋_GB2312" w:cs="仿宋_GB2312"/>
              </w:rPr>
              <w:t>否</w:t>
            </w:r>
          </w:p>
        </w:tc>
        <w:tc>
          <w:tcPr>
            <w:tcW w:w="755" w:type="dxa"/>
          </w:tcPr>
          <w:p w14:paraId="404F56CF">
            <w:pPr>
              <w:pStyle w:val="4"/>
            </w:pPr>
            <w:r>
              <w:rPr>
                <w:rFonts w:ascii="仿宋_GB2312" w:hAnsi="仿宋_GB2312" w:eastAsia="仿宋_GB2312" w:cs="仿宋_GB2312"/>
              </w:rPr>
              <w:t>否</w:t>
            </w:r>
          </w:p>
        </w:tc>
        <w:tc>
          <w:tcPr>
            <w:tcW w:w="755" w:type="dxa"/>
          </w:tcPr>
          <w:p w14:paraId="5F5A64E9">
            <w:pPr>
              <w:pStyle w:val="4"/>
            </w:pPr>
            <w:r>
              <w:rPr>
                <w:rFonts w:ascii="仿宋_GB2312" w:hAnsi="仿宋_GB2312" w:eastAsia="仿宋_GB2312" w:cs="仿宋_GB2312"/>
              </w:rPr>
              <w:t>否</w:t>
            </w:r>
          </w:p>
        </w:tc>
        <w:tc>
          <w:tcPr>
            <w:tcW w:w="755" w:type="dxa"/>
          </w:tcPr>
          <w:p w14:paraId="02EA9FC1">
            <w:pPr>
              <w:pStyle w:val="4"/>
            </w:pPr>
            <w:r>
              <w:rPr>
                <w:rFonts w:ascii="仿宋_GB2312" w:hAnsi="仿宋_GB2312" w:eastAsia="仿宋_GB2312" w:cs="仿宋_GB2312"/>
              </w:rPr>
              <w:t>否</w:t>
            </w:r>
          </w:p>
        </w:tc>
      </w:tr>
    </w:tbl>
    <w:p w14:paraId="5D1D95EF">
      <w:pPr>
        <w:pStyle w:val="4"/>
        <w:outlineLvl w:val="2"/>
      </w:pPr>
      <w:r>
        <w:rPr>
          <w:rFonts w:ascii="仿宋_GB2312" w:hAnsi="仿宋_GB2312" w:eastAsia="仿宋_GB2312" w:cs="仿宋_GB2312"/>
          <w:b/>
          <w:sz w:val="28"/>
        </w:rPr>
        <w:t>3.2.2服务要求</w:t>
      </w:r>
    </w:p>
    <w:p w14:paraId="7DD5C6E8">
      <w:pPr>
        <w:pStyle w:val="4"/>
      </w:pPr>
      <w:r>
        <w:rPr>
          <w:rFonts w:ascii="仿宋_GB2312" w:hAnsi="仿宋_GB2312" w:eastAsia="仿宋_GB2312" w:cs="仿宋_GB2312"/>
        </w:rPr>
        <w:t>采购包1：</w:t>
      </w:r>
    </w:p>
    <w:p w14:paraId="3B10733B">
      <w:pPr>
        <w:pStyle w:val="4"/>
      </w:pPr>
      <w:r>
        <w:rPr>
          <w:rFonts w:ascii="仿宋_GB2312" w:hAnsi="仿宋_GB2312" w:eastAsia="仿宋_GB2312" w:cs="仿宋_GB2312"/>
        </w:rPr>
        <w:t>标的名称：保安服务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47"/>
        <w:gridCol w:w="1335"/>
        <w:gridCol w:w="6307"/>
      </w:tblGrid>
      <w:tr w14:paraId="009CFD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7" w:type="dxa"/>
          </w:tcPr>
          <w:p w14:paraId="1145FE3C">
            <w:pPr>
              <w:pStyle w:val="4"/>
            </w:pPr>
            <w:r>
              <w:rPr>
                <w:rFonts w:ascii="仿宋_GB2312" w:hAnsi="仿宋_GB2312" w:eastAsia="仿宋_GB2312" w:cs="仿宋_GB2312"/>
              </w:rPr>
              <w:t xml:space="preserve"> 序号</w:t>
            </w:r>
          </w:p>
        </w:tc>
        <w:tc>
          <w:tcPr>
            <w:tcW w:w="1335" w:type="dxa"/>
          </w:tcPr>
          <w:p w14:paraId="6EE00B9F">
            <w:pPr>
              <w:pStyle w:val="4"/>
            </w:pPr>
            <w:r>
              <w:rPr>
                <w:rFonts w:ascii="仿宋_GB2312" w:hAnsi="仿宋_GB2312" w:eastAsia="仿宋_GB2312" w:cs="仿宋_GB2312"/>
              </w:rPr>
              <w:t xml:space="preserve"> 参数性质</w:t>
            </w:r>
          </w:p>
        </w:tc>
        <w:tc>
          <w:tcPr>
            <w:tcW w:w="6307" w:type="dxa"/>
          </w:tcPr>
          <w:p w14:paraId="32BE5BD8">
            <w:pPr>
              <w:pStyle w:val="4"/>
            </w:pPr>
            <w:r>
              <w:rPr>
                <w:rFonts w:ascii="仿宋_GB2312" w:hAnsi="仿宋_GB2312" w:eastAsia="仿宋_GB2312" w:cs="仿宋_GB2312"/>
              </w:rPr>
              <w:t xml:space="preserve"> 技术参数与性能指标</w:t>
            </w:r>
          </w:p>
        </w:tc>
      </w:tr>
      <w:tr w14:paraId="6E2B8E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7" w:type="dxa"/>
          </w:tcPr>
          <w:p w14:paraId="22A640B7">
            <w:pPr>
              <w:pStyle w:val="4"/>
            </w:pPr>
            <w:r>
              <w:rPr>
                <w:rFonts w:ascii="仿宋_GB2312" w:hAnsi="仿宋_GB2312" w:eastAsia="仿宋_GB2312" w:cs="仿宋_GB2312"/>
              </w:rPr>
              <w:t>1</w:t>
            </w:r>
          </w:p>
        </w:tc>
        <w:tc>
          <w:tcPr>
            <w:tcW w:w="1335" w:type="dxa"/>
          </w:tcPr>
          <w:p w14:paraId="6FD2ACD1"/>
        </w:tc>
        <w:tc>
          <w:tcPr>
            <w:tcW w:w="6307" w:type="dxa"/>
          </w:tcPr>
          <w:p w14:paraId="4519C447">
            <w:pPr>
              <w:pStyle w:val="4"/>
            </w:pPr>
            <w:r>
              <w:rPr>
                <w:rFonts w:ascii="仿宋_GB2312" w:hAnsi="仿宋_GB2312" w:eastAsia="仿宋_GB2312" w:cs="仿宋_GB2312"/>
                <w:b/>
                <w:sz w:val="21"/>
              </w:rPr>
              <w:t>一、项目概况</w:t>
            </w:r>
            <w:r>
              <w:br w:type="textWrapping"/>
            </w:r>
            <w:r>
              <w:rPr>
                <w:rFonts w:ascii="仿宋_GB2312" w:hAnsi="仿宋_GB2312" w:eastAsia="仿宋_GB2312" w:cs="仿宋_GB2312"/>
                <w:sz w:val="21"/>
              </w:rPr>
              <w:t xml:space="preserve">   根据《西安市鄠邑区卫生健康局西安市公安局鄠邑分局西安市鄠邑区财政局关于印发〈西安市鄠邑区医院安防系统建设实施方案〉》（2022）16号文件要求，综合考虑新院区规模、功能、业务量，为提升新医院治安管理和防暴处突能力，保证患者的生命财产安全，拟将2026年医院保安服务进行整体外包。</w:t>
            </w:r>
            <w:r>
              <w:br w:type="textWrapping"/>
            </w:r>
            <w:r>
              <w:rPr>
                <w:rFonts w:ascii="仿宋_GB2312" w:hAnsi="仿宋_GB2312" w:eastAsia="仿宋_GB2312" w:cs="仿宋_GB2312"/>
                <w:b/>
                <w:sz w:val="21"/>
              </w:rPr>
              <w:t>二、服务内容</w:t>
            </w:r>
            <w:r>
              <w:br w:type="textWrapping"/>
            </w:r>
            <w:r>
              <w:rPr>
                <w:rFonts w:ascii="仿宋_GB2312" w:hAnsi="仿宋_GB2312" w:eastAsia="仿宋_GB2312" w:cs="仿宋_GB2312"/>
                <w:sz w:val="21"/>
              </w:rPr>
              <w:t xml:space="preserve">   主要负责全院的门诊、住院部出入口、重点要害部位管理、治安巡逻、防暴处突、车辆收费和管理等任务。</w:t>
            </w:r>
            <w:r>
              <w:br w:type="textWrapping"/>
            </w:r>
            <w:r>
              <w:rPr>
                <w:rFonts w:ascii="仿宋_GB2312" w:hAnsi="仿宋_GB2312" w:eastAsia="仿宋_GB2312" w:cs="仿宋_GB2312"/>
                <w:b/>
                <w:sz w:val="21"/>
              </w:rPr>
              <w:t>三、技术要求</w:t>
            </w:r>
            <w:r>
              <w:br w:type="textWrapping"/>
            </w:r>
            <w:r>
              <w:rPr>
                <w:rFonts w:ascii="仿宋_GB2312" w:hAnsi="仿宋_GB2312" w:eastAsia="仿宋_GB2312" w:cs="仿宋_GB2312"/>
                <w:sz w:val="21"/>
              </w:rPr>
              <w:t xml:space="preserve">   1、身体健康，男性，55周岁以下。</w:t>
            </w:r>
            <w:r>
              <w:br w:type="textWrapping"/>
            </w:r>
            <w:r>
              <w:rPr>
                <w:rFonts w:ascii="仿宋_GB2312" w:hAnsi="仿宋_GB2312" w:eastAsia="仿宋_GB2312" w:cs="仿宋_GB2312"/>
                <w:sz w:val="21"/>
              </w:rPr>
              <w:t xml:space="preserve">   2、安保人员须接受过安保部门的专项培训，有国家颁发的《中华人民共和国保安员证》。</w:t>
            </w:r>
            <w:r>
              <w:br w:type="textWrapping"/>
            </w:r>
            <w:r>
              <w:rPr>
                <w:rFonts w:ascii="仿宋_GB2312" w:hAnsi="仿宋_GB2312" w:eastAsia="仿宋_GB2312" w:cs="仿宋_GB2312"/>
                <w:b/>
                <w:sz w:val="21"/>
              </w:rPr>
              <w:t>四、服务要求</w:t>
            </w:r>
          </w:p>
          <w:tbl>
            <w:tblPr>
              <w:tblStyle w:val="2"/>
              <w:tblW w:w="4996"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54"/>
              <w:gridCol w:w="1058"/>
              <w:gridCol w:w="1180"/>
              <w:gridCol w:w="854"/>
              <w:gridCol w:w="858"/>
              <w:gridCol w:w="1282"/>
            </w:tblGrid>
            <w:tr w14:paraId="5C1D37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1"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AE22560">
                  <w:pPr>
                    <w:pStyle w:val="4"/>
                    <w:jc w:val="center"/>
                  </w:pPr>
                  <w:r>
                    <w:rPr>
                      <w:rFonts w:ascii="仿宋_GB2312" w:hAnsi="仿宋_GB2312" w:eastAsia="仿宋_GB2312" w:cs="仿宋_GB2312"/>
                      <w:color w:val="000000"/>
                      <w:sz w:val="21"/>
                    </w:rPr>
                    <w:t>序号</w:t>
                  </w:r>
                </w:p>
              </w:tc>
              <w:tc>
                <w:tcPr>
                  <w:tcW w:w="86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B7C8B49">
                  <w:pPr>
                    <w:pStyle w:val="4"/>
                    <w:jc w:val="center"/>
                  </w:pPr>
                  <w:r>
                    <w:rPr>
                      <w:rFonts w:ascii="仿宋_GB2312" w:hAnsi="仿宋_GB2312" w:eastAsia="仿宋_GB2312" w:cs="仿宋_GB2312"/>
                      <w:color w:val="000000"/>
                      <w:sz w:val="21"/>
                    </w:rPr>
                    <w:t>分项目名称</w:t>
                  </w:r>
                </w:p>
              </w:tc>
              <w:tc>
                <w:tcPr>
                  <w:tcW w:w="968"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70097D5">
                  <w:pPr>
                    <w:pStyle w:val="4"/>
                    <w:jc w:val="center"/>
                  </w:pPr>
                  <w:r>
                    <w:rPr>
                      <w:rFonts w:ascii="仿宋_GB2312" w:hAnsi="仿宋_GB2312" w:eastAsia="仿宋_GB2312" w:cs="仿宋_GB2312"/>
                      <w:color w:val="000000"/>
                      <w:sz w:val="21"/>
                    </w:rPr>
                    <w:t>具体服务内容</w:t>
                  </w:r>
                </w:p>
              </w:tc>
              <w:tc>
                <w:tcPr>
                  <w:tcW w:w="701"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0FEF266">
                  <w:pPr>
                    <w:pStyle w:val="4"/>
                    <w:jc w:val="center"/>
                  </w:pPr>
                  <w:r>
                    <w:rPr>
                      <w:rFonts w:ascii="仿宋_GB2312" w:hAnsi="仿宋_GB2312" w:eastAsia="仿宋_GB2312" w:cs="仿宋_GB2312"/>
                      <w:color w:val="000000"/>
                      <w:sz w:val="21"/>
                    </w:rPr>
                    <w:t>单位</w:t>
                  </w:r>
                </w:p>
              </w:tc>
              <w:tc>
                <w:tcPr>
                  <w:tcW w:w="70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4D40EF7">
                  <w:pPr>
                    <w:pStyle w:val="4"/>
                    <w:jc w:val="center"/>
                  </w:pPr>
                  <w:r>
                    <w:rPr>
                      <w:rFonts w:ascii="仿宋_GB2312" w:hAnsi="仿宋_GB2312" w:eastAsia="仿宋_GB2312" w:cs="仿宋_GB2312"/>
                      <w:color w:val="000000"/>
                      <w:sz w:val="21"/>
                    </w:rPr>
                    <w:t>数量</w:t>
                  </w:r>
                </w:p>
              </w:tc>
              <w:tc>
                <w:tcPr>
                  <w:tcW w:w="105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54E742E">
                  <w:pPr>
                    <w:pStyle w:val="4"/>
                    <w:jc w:val="center"/>
                  </w:pPr>
                  <w:r>
                    <w:rPr>
                      <w:rFonts w:ascii="仿宋_GB2312" w:hAnsi="仿宋_GB2312" w:eastAsia="仿宋_GB2312" w:cs="仿宋_GB2312"/>
                      <w:color w:val="000000"/>
                      <w:sz w:val="21"/>
                    </w:rPr>
                    <w:t>备注</w:t>
                  </w:r>
                </w:p>
              </w:tc>
            </w:tr>
            <w:tr w14:paraId="3FC8FA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C82770">
                  <w:pPr>
                    <w:pStyle w:val="4"/>
                    <w:jc w:val="center"/>
                  </w:pPr>
                  <w:r>
                    <w:rPr>
                      <w:rFonts w:ascii="仿宋_GB2312" w:hAnsi="仿宋_GB2312" w:eastAsia="仿宋_GB2312" w:cs="仿宋_GB2312"/>
                      <w:color w:val="000000"/>
                      <w:sz w:val="21"/>
                    </w:rPr>
                    <w:t>1</w:t>
                  </w:r>
                </w:p>
              </w:tc>
              <w:tc>
                <w:tcPr>
                  <w:tcW w:w="8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392157">
                  <w:pPr>
                    <w:pStyle w:val="4"/>
                    <w:jc w:val="center"/>
                  </w:pPr>
                  <w:r>
                    <w:rPr>
                      <w:rFonts w:ascii="仿宋_GB2312" w:hAnsi="仿宋_GB2312" w:eastAsia="仿宋_GB2312" w:cs="仿宋_GB2312"/>
                      <w:sz w:val="21"/>
                    </w:rPr>
                    <w:t>管理人员</w:t>
                  </w:r>
                </w:p>
              </w:tc>
              <w:tc>
                <w:tcPr>
                  <w:tcW w:w="9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8C7A68">
                  <w:pPr>
                    <w:pStyle w:val="4"/>
                    <w:jc w:val="center"/>
                  </w:pPr>
                  <w:r>
                    <w:rPr>
                      <w:rFonts w:ascii="仿宋_GB2312" w:hAnsi="仿宋_GB2312" w:eastAsia="仿宋_GB2312" w:cs="仿宋_GB2312"/>
                      <w:sz w:val="21"/>
                    </w:rPr>
                    <w:t>日常管理</w:t>
                  </w:r>
                </w:p>
              </w:tc>
              <w:tc>
                <w:tcPr>
                  <w:tcW w:w="70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149285">
                  <w:pPr>
                    <w:pStyle w:val="4"/>
                    <w:jc w:val="center"/>
                  </w:pPr>
                  <w:r>
                    <w:rPr>
                      <w:rFonts w:ascii="仿宋_GB2312" w:hAnsi="仿宋_GB2312" w:eastAsia="仿宋_GB2312" w:cs="仿宋_GB2312"/>
                      <w:sz w:val="21"/>
                    </w:rPr>
                    <w:t>人</w:t>
                  </w:r>
                </w:p>
              </w:tc>
              <w:tc>
                <w:tcPr>
                  <w:tcW w:w="70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059CD3">
                  <w:pPr>
                    <w:pStyle w:val="4"/>
                    <w:jc w:val="center"/>
                  </w:pPr>
                  <w:r>
                    <w:rPr>
                      <w:rFonts w:ascii="仿宋_GB2312" w:hAnsi="仿宋_GB2312" w:eastAsia="仿宋_GB2312" w:cs="仿宋_GB2312"/>
                      <w:sz w:val="21"/>
                    </w:rPr>
                    <w:t>2人</w:t>
                  </w:r>
                </w:p>
              </w:tc>
              <w:tc>
                <w:tcPr>
                  <w:tcW w:w="10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661C3F">
                  <w:pPr>
                    <w:pStyle w:val="4"/>
                    <w:jc w:val="center"/>
                  </w:pPr>
                  <w:r>
                    <w:rPr>
                      <w:rFonts w:ascii="仿宋_GB2312" w:hAnsi="仿宋_GB2312" w:eastAsia="仿宋_GB2312" w:cs="仿宋_GB2312"/>
                      <w:sz w:val="21"/>
                    </w:rPr>
                    <w:t>其中包含项目负责人</w:t>
                  </w:r>
                </w:p>
              </w:tc>
            </w:tr>
            <w:tr w14:paraId="5B9808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A0D9C0">
                  <w:pPr>
                    <w:pStyle w:val="4"/>
                    <w:jc w:val="center"/>
                  </w:pPr>
                  <w:r>
                    <w:rPr>
                      <w:rFonts w:ascii="仿宋_GB2312" w:hAnsi="仿宋_GB2312" w:eastAsia="仿宋_GB2312" w:cs="仿宋_GB2312"/>
                      <w:color w:val="000000"/>
                      <w:sz w:val="21"/>
                    </w:rPr>
                    <w:t>2</w:t>
                  </w:r>
                </w:p>
              </w:tc>
              <w:tc>
                <w:tcPr>
                  <w:tcW w:w="8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6DECB2">
                  <w:pPr>
                    <w:pStyle w:val="4"/>
                    <w:jc w:val="center"/>
                  </w:pPr>
                  <w:r>
                    <w:rPr>
                      <w:rFonts w:ascii="仿宋_GB2312" w:hAnsi="仿宋_GB2312" w:eastAsia="仿宋_GB2312" w:cs="仿宋_GB2312"/>
                      <w:sz w:val="21"/>
                    </w:rPr>
                    <w:t>治安巡逻</w:t>
                  </w:r>
                </w:p>
              </w:tc>
              <w:tc>
                <w:tcPr>
                  <w:tcW w:w="9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7E87C8">
                  <w:pPr>
                    <w:pStyle w:val="4"/>
                    <w:jc w:val="center"/>
                  </w:pPr>
                  <w:r>
                    <w:rPr>
                      <w:rFonts w:ascii="仿宋_GB2312" w:hAnsi="仿宋_GB2312" w:eastAsia="仿宋_GB2312" w:cs="仿宋_GB2312"/>
                      <w:sz w:val="21"/>
                    </w:rPr>
                    <w:t>定期在全院要害部位安全巡逻和秩序维护</w:t>
                  </w:r>
                </w:p>
              </w:tc>
              <w:tc>
                <w:tcPr>
                  <w:tcW w:w="70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4FB637">
                  <w:pPr>
                    <w:pStyle w:val="4"/>
                    <w:jc w:val="center"/>
                  </w:pPr>
                  <w:r>
                    <w:rPr>
                      <w:rFonts w:ascii="仿宋_GB2312" w:hAnsi="仿宋_GB2312" w:eastAsia="仿宋_GB2312" w:cs="仿宋_GB2312"/>
                      <w:sz w:val="21"/>
                    </w:rPr>
                    <w:t>人</w:t>
                  </w:r>
                </w:p>
              </w:tc>
              <w:tc>
                <w:tcPr>
                  <w:tcW w:w="70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0F8A48">
                  <w:pPr>
                    <w:pStyle w:val="4"/>
                    <w:jc w:val="center"/>
                  </w:pPr>
                  <w:r>
                    <w:rPr>
                      <w:rFonts w:ascii="仿宋_GB2312" w:hAnsi="仿宋_GB2312" w:eastAsia="仿宋_GB2312" w:cs="仿宋_GB2312"/>
                      <w:sz w:val="21"/>
                    </w:rPr>
                    <w:t>4人</w:t>
                  </w:r>
                </w:p>
              </w:tc>
              <w:tc>
                <w:tcPr>
                  <w:tcW w:w="10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35C472">
                  <w:pPr>
                    <w:pStyle w:val="4"/>
                    <w:jc w:val="center"/>
                  </w:pPr>
                  <w:r>
                    <w:rPr>
                      <w:rFonts w:ascii="仿宋_GB2312" w:hAnsi="仿宋_GB2312" w:eastAsia="仿宋_GB2312" w:cs="仿宋_GB2312"/>
                      <w:sz w:val="21"/>
                    </w:rPr>
                    <w:t>24小时（两班倒）</w:t>
                  </w:r>
                </w:p>
              </w:tc>
            </w:tr>
            <w:tr w14:paraId="4537B5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7E9832">
                  <w:pPr>
                    <w:pStyle w:val="4"/>
                    <w:jc w:val="center"/>
                  </w:pPr>
                  <w:r>
                    <w:rPr>
                      <w:rFonts w:ascii="仿宋_GB2312" w:hAnsi="仿宋_GB2312" w:eastAsia="仿宋_GB2312" w:cs="仿宋_GB2312"/>
                      <w:color w:val="000000"/>
                      <w:sz w:val="21"/>
                    </w:rPr>
                    <w:t>3</w:t>
                  </w:r>
                </w:p>
              </w:tc>
              <w:tc>
                <w:tcPr>
                  <w:tcW w:w="8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1FF69C">
                  <w:pPr>
                    <w:pStyle w:val="4"/>
                    <w:jc w:val="center"/>
                  </w:pPr>
                  <w:r>
                    <w:rPr>
                      <w:rFonts w:ascii="仿宋_GB2312" w:hAnsi="仿宋_GB2312" w:eastAsia="仿宋_GB2312" w:cs="仿宋_GB2312"/>
                      <w:sz w:val="21"/>
                    </w:rPr>
                    <w:t>医院出入口</w:t>
                  </w:r>
                </w:p>
              </w:tc>
              <w:tc>
                <w:tcPr>
                  <w:tcW w:w="9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F2F50D">
                  <w:pPr>
                    <w:pStyle w:val="4"/>
                    <w:jc w:val="center"/>
                  </w:pPr>
                  <w:r>
                    <w:rPr>
                      <w:rFonts w:ascii="仿宋_GB2312" w:hAnsi="仿宋_GB2312" w:eastAsia="仿宋_GB2312" w:cs="仿宋_GB2312"/>
                      <w:sz w:val="21"/>
                    </w:rPr>
                    <w:t>负责门诊出入口管理和门诊大厅安全</w:t>
                  </w:r>
                </w:p>
              </w:tc>
              <w:tc>
                <w:tcPr>
                  <w:tcW w:w="70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F4FC04">
                  <w:pPr>
                    <w:pStyle w:val="4"/>
                    <w:jc w:val="center"/>
                  </w:pPr>
                  <w:r>
                    <w:rPr>
                      <w:rFonts w:ascii="仿宋_GB2312" w:hAnsi="仿宋_GB2312" w:eastAsia="仿宋_GB2312" w:cs="仿宋_GB2312"/>
                      <w:sz w:val="21"/>
                    </w:rPr>
                    <w:t>人</w:t>
                  </w:r>
                </w:p>
              </w:tc>
              <w:tc>
                <w:tcPr>
                  <w:tcW w:w="70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3E0E0A">
                  <w:pPr>
                    <w:pStyle w:val="4"/>
                    <w:jc w:val="center"/>
                  </w:pPr>
                  <w:r>
                    <w:rPr>
                      <w:rFonts w:ascii="仿宋_GB2312" w:hAnsi="仿宋_GB2312" w:eastAsia="仿宋_GB2312" w:cs="仿宋_GB2312"/>
                      <w:sz w:val="21"/>
                    </w:rPr>
                    <w:t>2人</w:t>
                  </w:r>
                </w:p>
              </w:tc>
              <w:tc>
                <w:tcPr>
                  <w:tcW w:w="10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40E5C3">
                  <w:pPr>
                    <w:pStyle w:val="4"/>
                    <w:jc w:val="center"/>
                  </w:pPr>
                  <w:r>
                    <w:rPr>
                      <w:rFonts w:ascii="仿宋_GB2312" w:hAnsi="仿宋_GB2312" w:eastAsia="仿宋_GB2312" w:cs="仿宋_GB2312"/>
                      <w:sz w:val="21"/>
                    </w:rPr>
                    <w:t>两个岗亭白班</w:t>
                  </w:r>
                </w:p>
              </w:tc>
            </w:tr>
            <w:tr w14:paraId="447606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E8DDAD">
                  <w:pPr>
                    <w:pStyle w:val="4"/>
                    <w:jc w:val="center"/>
                  </w:pPr>
                  <w:r>
                    <w:rPr>
                      <w:rFonts w:ascii="仿宋_GB2312" w:hAnsi="仿宋_GB2312" w:eastAsia="仿宋_GB2312" w:cs="仿宋_GB2312"/>
                      <w:color w:val="000000"/>
                      <w:sz w:val="21"/>
                    </w:rPr>
                    <w:t>4</w:t>
                  </w:r>
                </w:p>
              </w:tc>
              <w:tc>
                <w:tcPr>
                  <w:tcW w:w="8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DFE4C9">
                  <w:pPr>
                    <w:pStyle w:val="4"/>
                    <w:jc w:val="center"/>
                  </w:pPr>
                  <w:r>
                    <w:rPr>
                      <w:rFonts w:ascii="仿宋_GB2312" w:hAnsi="仿宋_GB2312" w:eastAsia="仿宋_GB2312" w:cs="仿宋_GB2312"/>
                      <w:sz w:val="21"/>
                    </w:rPr>
                    <w:t>门诊楼出入口</w:t>
                  </w:r>
                </w:p>
              </w:tc>
              <w:tc>
                <w:tcPr>
                  <w:tcW w:w="9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63BF0D">
                  <w:pPr>
                    <w:pStyle w:val="4"/>
                    <w:jc w:val="center"/>
                  </w:pPr>
                  <w:r>
                    <w:rPr>
                      <w:rFonts w:ascii="仿宋_GB2312" w:hAnsi="仿宋_GB2312" w:eastAsia="仿宋_GB2312" w:cs="仿宋_GB2312"/>
                      <w:sz w:val="21"/>
                    </w:rPr>
                    <w:t>负责后院的停车和安全</w:t>
                  </w:r>
                </w:p>
              </w:tc>
              <w:tc>
                <w:tcPr>
                  <w:tcW w:w="70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7B6362">
                  <w:pPr>
                    <w:pStyle w:val="4"/>
                    <w:jc w:val="center"/>
                  </w:pPr>
                  <w:r>
                    <w:rPr>
                      <w:rFonts w:ascii="仿宋_GB2312" w:hAnsi="仿宋_GB2312" w:eastAsia="仿宋_GB2312" w:cs="仿宋_GB2312"/>
                      <w:sz w:val="21"/>
                    </w:rPr>
                    <w:t>人</w:t>
                  </w:r>
                </w:p>
              </w:tc>
              <w:tc>
                <w:tcPr>
                  <w:tcW w:w="70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B3F6CC">
                  <w:pPr>
                    <w:pStyle w:val="4"/>
                    <w:jc w:val="center"/>
                  </w:pPr>
                  <w:r>
                    <w:rPr>
                      <w:rFonts w:ascii="仿宋_GB2312" w:hAnsi="仿宋_GB2312" w:eastAsia="仿宋_GB2312" w:cs="仿宋_GB2312"/>
                      <w:sz w:val="21"/>
                    </w:rPr>
                    <w:t>2人</w:t>
                  </w:r>
                </w:p>
              </w:tc>
              <w:tc>
                <w:tcPr>
                  <w:tcW w:w="10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E8DFEC">
                  <w:pPr>
                    <w:pStyle w:val="4"/>
                    <w:jc w:val="center"/>
                  </w:pPr>
                  <w:r>
                    <w:rPr>
                      <w:rFonts w:ascii="仿宋_GB2312" w:hAnsi="仿宋_GB2312" w:eastAsia="仿宋_GB2312" w:cs="仿宋_GB2312"/>
                      <w:sz w:val="21"/>
                    </w:rPr>
                    <w:t>24小时（两班倒）</w:t>
                  </w:r>
                </w:p>
              </w:tc>
            </w:tr>
            <w:tr w14:paraId="3CF93D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8C480F">
                  <w:pPr>
                    <w:pStyle w:val="4"/>
                    <w:jc w:val="center"/>
                  </w:pPr>
                  <w:r>
                    <w:rPr>
                      <w:rFonts w:ascii="仿宋_GB2312" w:hAnsi="仿宋_GB2312" w:eastAsia="仿宋_GB2312" w:cs="仿宋_GB2312"/>
                      <w:sz w:val="21"/>
                    </w:rPr>
                    <w:t>5</w:t>
                  </w:r>
                </w:p>
              </w:tc>
              <w:tc>
                <w:tcPr>
                  <w:tcW w:w="8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0D7C2C">
                  <w:pPr>
                    <w:pStyle w:val="4"/>
                    <w:jc w:val="center"/>
                  </w:pPr>
                  <w:r>
                    <w:rPr>
                      <w:rFonts w:ascii="仿宋_GB2312" w:hAnsi="仿宋_GB2312" w:eastAsia="仿宋_GB2312" w:cs="仿宋_GB2312"/>
                      <w:sz w:val="21"/>
                    </w:rPr>
                    <w:t>住院部出入口</w:t>
                  </w:r>
                </w:p>
              </w:tc>
              <w:tc>
                <w:tcPr>
                  <w:tcW w:w="9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9DDD96">
                  <w:pPr>
                    <w:pStyle w:val="4"/>
                    <w:jc w:val="center"/>
                  </w:pPr>
                  <w:r>
                    <w:rPr>
                      <w:rFonts w:ascii="仿宋_GB2312" w:hAnsi="仿宋_GB2312" w:eastAsia="仿宋_GB2312" w:cs="仿宋_GB2312"/>
                      <w:sz w:val="21"/>
                    </w:rPr>
                    <w:t>负责住院部</w:t>
                  </w:r>
                </w:p>
              </w:tc>
              <w:tc>
                <w:tcPr>
                  <w:tcW w:w="70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F113CB">
                  <w:pPr>
                    <w:pStyle w:val="4"/>
                    <w:jc w:val="center"/>
                  </w:pPr>
                  <w:r>
                    <w:rPr>
                      <w:rFonts w:ascii="仿宋_GB2312" w:hAnsi="仿宋_GB2312" w:eastAsia="仿宋_GB2312" w:cs="仿宋_GB2312"/>
                      <w:sz w:val="21"/>
                    </w:rPr>
                    <w:t>人</w:t>
                  </w:r>
                </w:p>
              </w:tc>
              <w:tc>
                <w:tcPr>
                  <w:tcW w:w="70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5800F2">
                  <w:pPr>
                    <w:pStyle w:val="4"/>
                    <w:jc w:val="center"/>
                  </w:pPr>
                  <w:r>
                    <w:rPr>
                      <w:rFonts w:ascii="仿宋_GB2312" w:hAnsi="仿宋_GB2312" w:eastAsia="仿宋_GB2312" w:cs="仿宋_GB2312"/>
                      <w:sz w:val="21"/>
                    </w:rPr>
                    <w:t>2人</w:t>
                  </w:r>
                </w:p>
              </w:tc>
              <w:tc>
                <w:tcPr>
                  <w:tcW w:w="10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AD6871">
                  <w:pPr>
                    <w:pStyle w:val="4"/>
                    <w:jc w:val="center"/>
                  </w:pPr>
                  <w:r>
                    <w:rPr>
                      <w:rFonts w:ascii="仿宋_GB2312" w:hAnsi="仿宋_GB2312" w:eastAsia="仿宋_GB2312" w:cs="仿宋_GB2312"/>
                      <w:sz w:val="21"/>
                    </w:rPr>
                    <w:t>24小时（两班倒）</w:t>
                  </w:r>
                </w:p>
              </w:tc>
            </w:tr>
            <w:tr w14:paraId="0F7FD0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996516">
                  <w:pPr>
                    <w:pStyle w:val="4"/>
                    <w:jc w:val="center"/>
                  </w:pPr>
                  <w:r>
                    <w:rPr>
                      <w:rFonts w:ascii="仿宋_GB2312" w:hAnsi="仿宋_GB2312" w:eastAsia="仿宋_GB2312" w:cs="仿宋_GB2312"/>
                      <w:sz w:val="21"/>
                    </w:rPr>
                    <w:t>6</w:t>
                  </w:r>
                </w:p>
              </w:tc>
              <w:tc>
                <w:tcPr>
                  <w:tcW w:w="8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4BFDEE">
                  <w:pPr>
                    <w:pStyle w:val="4"/>
                    <w:jc w:val="center"/>
                  </w:pPr>
                  <w:r>
                    <w:rPr>
                      <w:rFonts w:ascii="仿宋_GB2312" w:hAnsi="仿宋_GB2312" w:eastAsia="仿宋_GB2312" w:cs="仿宋_GB2312"/>
                      <w:sz w:val="21"/>
                    </w:rPr>
                    <w:t>监控室</w:t>
                  </w:r>
                </w:p>
              </w:tc>
              <w:tc>
                <w:tcPr>
                  <w:tcW w:w="9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BC9DE7">
                  <w:pPr>
                    <w:pStyle w:val="4"/>
                    <w:jc w:val="center"/>
                  </w:pPr>
                  <w:r>
                    <w:rPr>
                      <w:rFonts w:ascii="仿宋_GB2312" w:hAnsi="仿宋_GB2312" w:eastAsia="仿宋_GB2312" w:cs="仿宋_GB2312"/>
                      <w:sz w:val="21"/>
                    </w:rPr>
                    <w:t>负责全院监控室管理</w:t>
                  </w:r>
                </w:p>
              </w:tc>
              <w:tc>
                <w:tcPr>
                  <w:tcW w:w="70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BC19FC">
                  <w:pPr>
                    <w:pStyle w:val="4"/>
                    <w:jc w:val="center"/>
                  </w:pPr>
                  <w:r>
                    <w:rPr>
                      <w:rFonts w:ascii="仿宋_GB2312" w:hAnsi="仿宋_GB2312" w:eastAsia="仿宋_GB2312" w:cs="仿宋_GB2312"/>
                      <w:sz w:val="21"/>
                    </w:rPr>
                    <w:t>人</w:t>
                  </w:r>
                </w:p>
              </w:tc>
              <w:tc>
                <w:tcPr>
                  <w:tcW w:w="70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E5CDC2">
                  <w:pPr>
                    <w:pStyle w:val="4"/>
                    <w:jc w:val="center"/>
                  </w:pPr>
                  <w:r>
                    <w:rPr>
                      <w:rFonts w:ascii="仿宋_GB2312" w:hAnsi="仿宋_GB2312" w:eastAsia="仿宋_GB2312" w:cs="仿宋_GB2312"/>
                      <w:sz w:val="21"/>
                    </w:rPr>
                    <w:t>2人</w:t>
                  </w:r>
                </w:p>
              </w:tc>
              <w:tc>
                <w:tcPr>
                  <w:tcW w:w="10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1E7764">
                  <w:pPr>
                    <w:pStyle w:val="4"/>
                    <w:jc w:val="center"/>
                  </w:pPr>
                  <w:r>
                    <w:rPr>
                      <w:rFonts w:ascii="仿宋_GB2312" w:hAnsi="仿宋_GB2312" w:eastAsia="仿宋_GB2312" w:cs="仿宋_GB2312"/>
                      <w:sz w:val="21"/>
                    </w:rPr>
                    <w:t>24小时（两班倒）</w:t>
                  </w:r>
                </w:p>
              </w:tc>
            </w:tr>
            <w:tr w14:paraId="6CF7EF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1ECB9B">
                  <w:pPr>
                    <w:pStyle w:val="4"/>
                    <w:jc w:val="center"/>
                  </w:pPr>
                  <w:r>
                    <w:rPr>
                      <w:rFonts w:ascii="仿宋_GB2312" w:hAnsi="仿宋_GB2312" w:eastAsia="仿宋_GB2312" w:cs="仿宋_GB2312"/>
                      <w:sz w:val="21"/>
                    </w:rPr>
                    <w:t>7</w:t>
                  </w:r>
                </w:p>
              </w:tc>
              <w:tc>
                <w:tcPr>
                  <w:tcW w:w="8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AE9B59">
                  <w:pPr>
                    <w:pStyle w:val="4"/>
                    <w:jc w:val="center"/>
                  </w:pPr>
                  <w:r>
                    <w:rPr>
                      <w:rFonts w:ascii="仿宋_GB2312" w:hAnsi="仿宋_GB2312" w:eastAsia="仿宋_GB2312" w:cs="仿宋_GB2312"/>
                      <w:sz w:val="21"/>
                    </w:rPr>
                    <w:t>车辆管理</w:t>
                  </w:r>
                </w:p>
              </w:tc>
              <w:tc>
                <w:tcPr>
                  <w:tcW w:w="9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2479C6">
                  <w:pPr>
                    <w:pStyle w:val="4"/>
                    <w:jc w:val="center"/>
                  </w:pPr>
                  <w:r>
                    <w:rPr>
                      <w:rFonts w:ascii="仿宋_GB2312" w:hAnsi="仿宋_GB2312" w:eastAsia="仿宋_GB2312" w:cs="仿宋_GB2312"/>
                      <w:sz w:val="21"/>
                    </w:rPr>
                    <w:t>负责院内停车管理</w:t>
                  </w:r>
                </w:p>
              </w:tc>
              <w:tc>
                <w:tcPr>
                  <w:tcW w:w="70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AEA4E6">
                  <w:pPr>
                    <w:pStyle w:val="4"/>
                    <w:jc w:val="center"/>
                  </w:pPr>
                  <w:r>
                    <w:rPr>
                      <w:rFonts w:ascii="仿宋_GB2312" w:hAnsi="仿宋_GB2312" w:eastAsia="仿宋_GB2312" w:cs="仿宋_GB2312"/>
                      <w:sz w:val="21"/>
                    </w:rPr>
                    <w:t>人</w:t>
                  </w:r>
                </w:p>
              </w:tc>
              <w:tc>
                <w:tcPr>
                  <w:tcW w:w="70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A7C11C">
                  <w:pPr>
                    <w:pStyle w:val="4"/>
                    <w:jc w:val="center"/>
                  </w:pPr>
                  <w:r>
                    <w:rPr>
                      <w:rFonts w:ascii="仿宋_GB2312" w:hAnsi="仿宋_GB2312" w:eastAsia="仿宋_GB2312" w:cs="仿宋_GB2312"/>
                      <w:sz w:val="21"/>
                    </w:rPr>
                    <w:t>3人</w:t>
                  </w:r>
                </w:p>
              </w:tc>
              <w:tc>
                <w:tcPr>
                  <w:tcW w:w="10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1FC69A">
                  <w:pPr>
                    <w:pStyle w:val="4"/>
                    <w:jc w:val="center"/>
                  </w:pPr>
                  <w:r>
                    <w:rPr>
                      <w:rFonts w:ascii="仿宋_GB2312" w:hAnsi="仿宋_GB2312" w:eastAsia="仿宋_GB2312" w:cs="仿宋_GB2312"/>
                      <w:sz w:val="21"/>
                    </w:rPr>
                    <w:t>地下、地上车辆管理</w:t>
                  </w:r>
                </w:p>
              </w:tc>
            </w:tr>
            <w:tr w14:paraId="245DDF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9" w:type="pct"/>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B77267">
                  <w:pPr>
                    <w:pStyle w:val="4"/>
                    <w:jc w:val="center"/>
                  </w:pPr>
                  <w:r>
                    <w:rPr>
                      <w:rFonts w:ascii="仿宋_GB2312" w:hAnsi="仿宋_GB2312" w:eastAsia="仿宋_GB2312" w:cs="仿宋_GB2312"/>
                      <w:color w:val="000000"/>
                      <w:sz w:val="21"/>
                    </w:rPr>
                    <w:t>合计</w:t>
                  </w:r>
                </w:p>
              </w:tc>
              <w:tc>
                <w:tcPr>
                  <w:tcW w:w="70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7F414B">
                  <w:pPr>
                    <w:pStyle w:val="4"/>
                    <w:jc w:val="center"/>
                  </w:pPr>
                  <w:r>
                    <w:rPr>
                      <w:rFonts w:ascii="仿宋_GB2312" w:hAnsi="仿宋_GB2312" w:eastAsia="仿宋_GB2312" w:cs="仿宋_GB2312"/>
                      <w:sz w:val="21"/>
                    </w:rPr>
                    <w:t>人</w:t>
                  </w:r>
                </w:p>
              </w:tc>
              <w:tc>
                <w:tcPr>
                  <w:tcW w:w="1758" w:type="pct"/>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D6AC02">
                  <w:pPr>
                    <w:pStyle w:val="4"/>
                    <w:jc w:val="center"/>
                  </w:pPr>
                  <w:r>
                    <w:rPr>
                      <w:rFonts w:ascii="仿宋_GB2312" w:hAnsi="仿宋_GB2312" w:eastAsia="仿宋_GB2312" w:cs="仿宋_GB2312"/>
                      <w:sz w:val="21"/>
                    </w:rPr>
                    <w:t>17人</w:t>
                  </w:r>
                </w:p>
              </w:tc>
            </w:tr>
          </w:tbl>
          <w:p w14:paraId="7A325DBD">
            <w:pPr>
              <w:pStyle w:val="4"/>
            </w:pPr>
            <w:r>
              <w:rPr>
                <w:rFonts w:ascii="仿宋_GB2312" w:hAnsi="仿宋_GB2312" w:eastAsia="仿宋_GB2312" w:cs="仿宋_GB2312"/>
                <w:b/>
                <w:sz w:val="21"/>
              </w:rPr>
              <w:t>五、商务要求</w:t>
            </w:r>
            <w:r>
              <w:br w:type="textWrapping"/>
            </w:r>
            <w:r>
              <w:rPr>
                <w:rFonts w:ascii="仿宋_GB2312" w:hAnsi="仿宋_GB2312" w:eastAsia="仿宋_GB2312" w:cs="仿宋_GB2312"/>
                <w:sz w:val="21"/>
              </w:rPr>
              <w:t xml:space="preserve">   （一）服务期限</w:t>
            </w:r>
            <w:r>
              <w:br w:type="textWrapping"/>
            </w:r>
            <w:r>
              <w:rPr>
                <w:rFonts w:ascii="仿宋_GB2312" w:hAnsi="仿宋_GB2312" w:eastAsia="仿宋_GB2312" w:cs="仿宋_GB2312"/>
                <w:sz w:val="21"/>
              </w:rPr>
              <w:t xml:space="preserve">   自合同签订之日起1年。</w:t>
            </w:r>
            <w:r>
              <w:br w:type="textWrapping"/>
            </w:r>
            <w:r>
              <w:rPr>
                <w:rFonts w:ascii="仿宋_GB2312" w:hAnsi="仿宋_GB2312" w:eastAsia="仿宋_GB2312" w:cs="仿宋_GB2312"/>
                <w:sz w:val="21"/>
              </w:rPr>
              <w:t xml:space="preserve">   （二）款项结算</w:t>
            </w:r>
            <w:r>
              <w:br w:type="textWrapping"/>
            </w:r>
            <w:r>
              <w:rPr>
                <w:rFonts w:ascii="仿宋_GB2312" w:hAnsi="仿宋_GB2312" w:eastAsia="仿宋_GB2312" w:cs="仿宋_GB2312"/>
                <w:sz w:val="21"/>
              </w:rPr>
              <w:t xml:space="preserve">   本项目按月支付，乙方应于每月向甲方出具当月相应金额符合甲方要求的合法有效发票，甲方以银行转账方式向乙方付款至乙方指定收款银行账户。</w:t>
            </w:r>
          </w:p>
        </w:tc>
      </w:tr>
    </w:tbl>
    <w:p w14:paraId="38473BB0">
      <w:pPr>
        <w:pStyle w:val="4"/>
        <w:outlineLvl w:val="2"/>
      </w:pPr>
      <w:r>
        <w:rPr>
          <w:rFonts w:ascii="仿宋_GB2312" w:hAnsi="仿宋_GB2312" w:eastAsia="仿宋_GB2312" w:cs="仿宋_GB2312"/>
          <w:b/>
          <w:sz w:val="28"/>
        </w:rPr>
        <w:t>3.2.3人员配置要求</w:t>
      </w:r>
    </w:p>
    <w:p w14:paraId="76DB3BC7">
      <w:pPr>
        <w:pStyle w:val="4"/>
      </w:pPr>
      <w:r>
        <w:rPr>
          <w:rFonts w:ascii="仿宋_GB2312" w:hAnsi="仿宋_GB2312" w:eastAsia="仿宋_GB2312" w:cs="仿宋_GB2312"/>
        </w:rPr>
        <w:t>采购包1：</w:t>
      </w:r>
    </w:p>
    <w:p w14:paraId="217CBAF8">
      <w:pPr>
        <w:pStyle w:val="4"/>
      </w:pPr>
      <w:r>
        <w:rPr>
          <w:rFonts w:ascii="仿宋_GB2312" w:hAnsi="仿宋_GB2312" w:eastAsia="仿宋_GB2312" w:cs="仿宋_GB2312"/>
        </w:rPr>
        <w:t>所配备的人员需充分，能够满足项目需求。</w:t>
      </w:r>
    </w:p>
    <w:p w14:paraId="676A1500">
      <w:pPr>
        <w:pStyle w:val="4"/>
        <w:outlineLvl w:val="2"/>
      </w:pPr>
      <w:r>
        <w:rPr>
          <w:rFonts w:ascii="仿宋_GB2312" w:hAnsi="仿宋_GB2312" w:eastAsia="仿宋_GB2312" w:cs="仿宋_GB2312"/>
          <w:b/>
          <w:sz w:val="28"/>
        </w:rPr>
        <w:t>3.2.4设施设备要求</w:t>
      </w:r>
    </w:p>
    <w:p w14:paraId="5EA08505">
      <w:pPr>
        <w:pStyle w:val="4"/>
      </w:pPr>
      <w:r>
        <w:rPr>
          <w:rFonts w:ascii="仿宋_GB2312" w:hAnsi="仿宋_GB2312" w:eastAsia="仿宋_GB2312" w:cs="仿宋_GB2312"/>
        </w:rPr>
        <w:t>采购包1：</w:t>
      </w:r>
    </w:p>
    <w:p w14:paraId="13272B1D">
      <w:pPr>
        <w:pStyle w:val="4"/>
      </w:pPr>
      <w:r>
        <w:rPr>
          <w:rFonts w:ascii="仿宋_GB2312" w:hAnsi="仿宋_GB2312" w:eastAsia="仿宋_GB2312" w:cs="仿宋_GB2312"/>
        </w:rPr>
        <w:t>/</w:t>
      </w:r>
    </w:p>
    <w:p w14:paraId="68F5ADA2">
      <w:pPr>
        <w:pStyle w:val="4"/>
        <w:outlineLvl w:val="2"/>
      </w:pPr>
      <w:r>
        <w:rPr>
          <w:rFonts w:ascii="仿宋_GB2312" w:hAnsi="仿宋_GB2312" w:eastAsia="仿宋_GB2312" w:cs="仿宋_GB2312"/>
          <w:b/>
          <w:sz w:val="28"/>
        </w:rPr>
        <w:t>3.2.5其他要求</w:t>
      </w:r>
    </w:p>
    <w:p w14:paraId="7A00A0A0">
      <w:pPr>
        <w:pStyle w:val="4"/>
      </w:pPr>
      <w:r>
        <w:rPr>
          <w:rFonts w:ascii="仿宋_GB2312" w:hAnsi="仿宋_GB2312" w:eastAsia="仿宋_GB2312" w:cs="仿宋_GB2312"/>
        </w:rPr>
        <w:t>采购包1：</w:t>
      </w:r>
    </w:p>
    <w:p w14:paraId="5D1B0773">
      <w:pPr>
        <w:pStyle w:val="4"/>
      </w:pPr>
      <w:r>
        <w:rPr>
          <w:rFonts w:ascii="仿宋_GB2312" w:hAnsi="仿宋_GB2312" w:eastAsia="仿宋_GB2312" w:cs="仿宋_GB2312"/>
        </w:rPr>
        <w:t>/</w:t>
      </w:r>
    </w:p>
    <w:p w14:paraId="1CB4AF63">
      <w:pPr>
        <w:pStyle w:val="4"/>
        <w:outlineLvl w:val="2"/>
      </w:pPr>
      <w:r>
        <w:rPr>
          <w:rFonts w:ascii="仿宋_GB2312" w:hAnsi="仿宋_GB2312" w:eastAsia="仿宋_GB2312" w:cs="仿宋_GB2312"/>
          <w:b/>
          <w:sz w:val="28"/>
        </w:rPr>
        <w:t>3.3商务要求</w:t>
      </w:r>
    </w:p>
    <w:p w14:paraId="29EBAFAE">
      <w:pPr>
        <w:pStyle w:val="4"/>
        <w:outlineLvl w:val="3"/>
      </w:pPr>
      <w:r>
        <w:rPr>
          <w:rFonts w:ascii="仿宋_GB2312" w:hAnsi="仿宋_GB2312" w:eastAsia="仿宋_GB2312" w:cs="仿宋_GB2312"/>
          <w:b/>
          <w:sz w:val="24"/>
        </w:rPr>
        <w:t>3.3.1服务期限</w:t>
      </w:r>
    </w:p>
    <w:p w14:paraId="36E3ED43">
      <w:pPr>
        <w:pStyle w:val="4"/>
      </w:pPr>
      <w:r>
        <w:rPr>
          <w:rFonts w:ascii="仿宋_GB2312" w:hAnsi="仿宋_GB2312" w:eastAsia="仿宋_GB2312" w:cs="仿宋_GB2312"/>
        </w:rPr>
        <w:t>采购包1：</w:t>
      </w:r>
    </w:p>
    <w:p w14:paraId="5D7BE89A">
      <w:pPr>
        <w:pStyle w:val="4"/>
      </w:pPr>
      <w:r>
        <w:rPr>
          <w:rFonts w:ascii="仿宋_GB2312" w:hAnsi="仿宋_GB2312" w:eastAsia="仿宋_GB2312" w:cs="仿宋_GB2312"/>
        </w:rPr>
        <w:t>自合同签订之日起1年</w:t>
      </w:r>
    </w:p>
    <w:p w14:paraId="6BA967B1">
      <w:pPr>
        <w:pStyle w:val="4"/>
        <w:outlineLvl w:val="3"/>
      </w:pPr>
      <w:r>
        <w:rPr>
          <w:rFonts w:ascii="仿宋_GB2312" w:hAnsi="仿宋_GB2312" w:eastAsia="仿宋_GB2312" w:cs="仿宋_GB2312"/>
          <w:b/>
          <w:sz w:val="24"/>
        </w:rPr>
        <w:t>3.3.2服务地点</w:t>
      </w:r>
    </w:p>
    <w:p w14:paraId="0D2ABFA2">
      <w:pPr>
        <w:pStyle w:val="4"/>
      </w:pPr>
      <w:r>
        <w:rPr>
          <w:rFonts w:ascii="仿宋_GB2312" w:hAnsi="仿宋_GB2312" w:eastAsia="仿宋_GB2312" w:cs="仿宋_GB2312"/>
        </w:rPr>
        <w:t>采购包1：</w:t>
      </w:r>
    </w:p>
    <w:p w14:paraId="5D8C13BF">
      <w:pPr>
        <w:pStyle w:val="4"/>
      </w:pPr>
      <w:r>
        <w:rPr>
          <w:rFonts w:ascii="仿宋_GB2312" w:hAnsi="仿宋_GB2312" w:eastAsia="仿宋_GB2312" w:cs="仿宋_GB2312"/>
        </w:rPr>
        <w:t>采购人指定地点</w:t>
      </w:r>
    </w:p>
    <w:p w14:paraId="118C738D">
      <w:pPr>
        <w:pStyle w:val="4"/>
        <w:outlineLvl w:val="3"/>
      </w:pPr>
      <w:r>
        <w:rPr>
          <w:rFonts w:ascii="仿宋_GB2312" w:hAnsi="仿宋_GB2312" w:eastAsia="仿宋_GB2312" w:cs="仿宋_GB2312"/>
          <w:b/>
          <w:sz w:val="24"/>
        </w:rPr>
        <w:t>3.3.3考核（验收）标准和方法</w:t>
      </w:r>
    </w:p>
    <w:p w14:paraId="4E50829A">
      <w:pPr>
        <w:pStyle w:val="4"/>
      </w:pPr>
      <w:r>
        <w:rPr>
          <w:rFonts w:ascii="仿宋_GB2312" w:hAnsi="仿宋_GB2312" w:eastAsia="仿宋_GB2312" w:cs="仿宋_GB2312"/>
        </w:rPr>
        <w:t>采购包1：</w:t>
      </w:r>
    </w:p>
    <w:p w14:paraId="315BBFC9">
      <w:pPr>
        <w:pStyle w:val="4"/>
      </w:pPr>
      <w:r>
        <w:rPr>
          <w:rFonts w:ascii="仿宋_GB2312" w:hAnsi="仿宋_GB2312" w:eastAsia="仿宋_GB2312" w:cs="仿宋_GB2312"/>
        </w:rPr>
        <w:t>详见采购文件合同文本。</w:t>
      </w:r>
    </w:p>
    <w:p w14:paraId="1101424B">
      <w:pPr>
        <w:pStyle w:val="4"/>
        <w:outlineLvl w:val="3"/>
      </w:pPr>
      <w:r>
        <w:rPr>
          <w:rFonts w:ascii="仿宋_GB2312" w:hAnsi="仿宋_GB2312" w:eastAsia="仿宋_GB2312" w:cs="仿宋_GB2312"/>
          <w:b/>
          <w:sz w:val="24"/>
        </w:rPr>
        <w:t>3.3.4支付方式</w:t>
      </w:r>
    </w:p>
    <w:p w14:paraId="6CF5FE45">
      <w:pPr>
        <w:pStyle w:val="4"/>
      </w:pPr>
      <w:r>
        <w:rPr>
          <w:rFonts w:ascii="仿宋_GB2312" w:hAnsi="仿宋_GB2312" w:eastAsia="仿宋_GB2312" w:cs="仿宋_GB2312"/>
        </w:rPr>
        <w:t>采购包1：</w:t>
      </w:r>
    </w:p>
    <w:p w14:paraId="6BBECDCF">
      <w:pPr>
        <w:pStyle w:val="4"/>
      </w:pPr>
      <w:r>
        <w:rPr>
          <w:rFonts w:ascii="仿宋_GB2312" w:hAnsi="仿宋_GB2312" w:eastAsia="仿宋_GB2312" w:cs="仿宋_GB2312"/>
        </w:rPr>
        <w:t>分期付款</w:t>
      </w:r>
    </w:p>
    <w:p w14:paraId="382B42F0">
      <w:pPr>
        <w:pStyle w:val="4"/>
        <w:outlineLvl w:val="3"/>
      </w:pPr>
      <w:r>
        <w:rPr>
          <w:rFonts w:ascii="仿宋_GB2312" w:hAnsi="仿宋_GB2312" w:eastAsia="仿宋_GB2312" w:cs="仿宋_GB2312"/>
          <w:b/>
          <w:sz w:val="24"/>
        </w:rPr>
        <w:t>3.3.5支付约定</w:t>
      </w:r>
    </w:p>
    <w:p w14:paraId="34BB07F5">
      <w:pPr>
        <w:pStyle w:val="4"/>
      </w:pPr>
      <w:r>
        <w:rPr>
          <w:rFonts w:ascii="仿宋_GB2312" w:hAnsi="仿宋_GB2312" w:eastAsia="仿宋_GB2312" w:cs="仿宋_GB2312"/>
        </w:rPr>
        <w:t>采购包1：</w:t>
      </w:r>
    </w:p>
    <w:p w14:paraId="0D53D963">
      <w:pPr>
        <w:pStyle w:val="4"/>
        <w:ind w:firstLine="1200"/>
      </w:pPr>
      <w:r>
        <w:rPr>
          <w:rFonts w:ascii="仿宋_GB2312" w:hAnsi="仿宋_GB2312" w:eastAsia="仿宋_GB2312" w:cs="仿宋_GB2312"/>
        </w:rPr>
        <w:t>1、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1E568CEB">
      <w:pPr>
        <w:pStyle w:val="4"/>
        <w:ind w:firstLine="1200"/>
      </w:pPr>
      <w:r>
        <w:rPr>
          <w:rFonts w:ascii="仿宋_GB2312" w:hAnsi="仿宋_GB2312" w:eastAsia="仿宋_GB2312" w:cs="仿宋_GB2312"/>
        </w:rPr>
        <w:t>2、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40AD058C">
      <w:pPr>
        <w:pStyle w:val="4"/>
        <w:ind w:firstLine="1200"/>
      </w:pPr>
      <w:r>
        <w:rPr>
          <w:rFonts w:ascii="仿宋_GB2312" w:hAnsi="仿宋_GB2312" w:eastAsia="仿宋_GB2312" w:cs="仿宋_GB2312"/>
        </w:rPr>
        <w:t>3、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4B179368">
      <w:pPr>
        <w:pStyle w:val="4"/>
        <w:ind w:firstLine="1200"/>
      </w:pPr>
      <w:r>
        <w:rPr>
          <w:rFonts w:ascii="仿宋_GB2312" w:hAnsi="仿宋_GB2312" w:eastAsia="仿宋_GB2312" w:cs="仿宋_GB2312"/>
        </w:rPr>
        <w:t>4、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4C6AC9B1">
      <w:pPr>
        <w:pStyle w:val="4"/>
        <w:ind w:firstLine="1200"/>
      </w:pPr>
      <w:r>
        <w:rPr>
          <w:rFonts w:ascii="仿宋_GB2312" w:hAnsi="仿宋_GB2312" w:eastAsia="仿宋_GB2312" w:cs="仿宋_GB2312"/>
        </w:rPr>
        <w:t>5、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1598B067">
      <w:pPr>
        <w:pStyle w:val="4"/>
        <w:ind w:firstLine="1200"/>
      </w:pPr>
      <w:r>
        <w:rPr>
          <w:rFonts w:ascii="仿宋_GB2312" w:hAnsi="仿宋_GB2312" w:eastAsia="仿宋_GB2312" w:cs="仿宋_GB2312"/>
        </w:rPr>
        <w:t>6、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1DAC5FA6">
      <w:pPr>
        <w:pStyle w:val="4"/>
        <w:ind w:firstLine="1200"/>
      </w:pPr>
      <w:r>
        <w:rPr>
          <w:rFonts w:ascii="仿宋_GB2312" w:hAnsi="仿宋_GB2312" w:eastAsia="仿宋_GB2312" w:cs="仿宋_GB2312"/>
        </w:rPr>
        <w:t>7、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5F582E04">
      <w:pPr>
        <w:pStyle w:val="4"/>
        <w:ind w:firstLine="1200"/>
      </w:pPr>
      <w:r>
        <w:rPr>
          <w:rFonts w:ascii="仿宋_GB2312" w:hAnsi="仿宋_GB2312" w:eastAsia="仿宋_GB2312" w:cs="仿宋_GB2312"/>
        </w:rPr>
        <w:t>8、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2CB44845">
      <w:pPr>
        <w:pStyle w:val="4"/>
        <w:ind w:firstLine="1200"/>
      </w:pPr>
      <w:r>
        <w:rPr>
          <w:rFonts w:ascii="仿宋_GB2312" w:hAnsi="仿宋_GB2312" w:eastAsia="仿宋_GB2312" w:cs="仿宋_GB2312"/>
        </w:rPr>
        <w:t>9、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4AB9CCDE">
      <w:pPr>
        <w:pStyle w:val="4"/>
        <w:ind w:firstLine="1200"/>
      </w:pPr>
      <w:r>
        <w:rPr>
          <w:rFonts w:ascii="仿宋_GB2312" w:hAnsi="仿宋_GB2312" w:eastAsia="仿宋_GB2312" w:cs="仿宋_GB2312"/>
        </w:rPr>
        <w:t>10、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562D78DF">
      <w:pPr>
        <w:pStyle w:val="4"/>
        <w:ind w:firstLine="1200"/>
      </w:pPr>
      <w:r>
        <w:rPr>
          <w:rFonts w:ascii="仿宋_GB2312" w:hAnsi="仿宋_GB2312" w:eastAsia="仿宋_GB2312" w:cs="仿宋_GB2312"/>
        </w:rPr>
        <w:t>11、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7F9BCE54">
      <w:pPr>
        <w:pStyle w:val="4"/>
        <w:ind w:firstLine="1200"/>
      </w:pPr>
      <w:r>
        <w:rPr>
          <w:rFonts w:ascii="仿宋_GB2312" w:hAnsi="仿宋_GB2312" w:eastAsia="仿宋_GB2312" w:cs="仿宋_GB2312"/>
        </w:rPr>
        <w:t>12、进度款，本项目按月支付，乙方应于每月向甲方出具当月相应金额符合甲方要求的合法有效发票，甲方以银行转账方式向乙方付款至乙方指定收款银行账户，达到付款条件起15个工作日内，支付合同总金额的8.7%</w:t>
      </w:r>
    </w:p>
    <w:p w14:paraId="75EFA770">
      <w:pPr>
        <w:pStyle w:val="4"/>
        <w:outlineLvl w:val="3"/>
      </w:pPr>
      <w:r>
        <w:rPr>
          <w:rFonts w:ascii="仿宋_GB2312" w:hAnsi="仿宋_GB2312" w:eastAsia="仿宋_GB2312" w:cs="仿宋_GB2312"/>
          <w:b/>
          <w:sz w:val="24"/>
        </w:rPr>
        <w:t>3.3.6违约责任及解决争议的方法</w:t>
      </w:r>
    </w:p>
    <w:p w14:paraId="35F5EF92">
      <w:pPr>
        <w:pStyle w:val="4"/>
      </w:pPr>
      <w:r>
        <w:rPr>
          <w:rFonts w:ascii="仿宋_GB2312" w:hAnsi="仿宋_GB2312" w:eastAsia="仿宋_GB2312" w:cs="仿宋_GB2312"/>
        </w:rPr>
        <w:t>采购包1：</w:t>
      </w:r>
    </w:p>
    <w:p w14:paraId="6DD922C1">
      <w:pPr>
        <w:pStyle w:val="4"/>
      </w:pPr>
      <w:r>
        <w:rPr>
          <w:rFonts w:ascii="仿宋_GB2312" w:hAnsi="仿宋_GB2312" w:eastAsia="仿宋_GB2312" w:cs="仿宋_GB2312"/>
        </w:rPr>
        <w:t>（一）违约责任 1.因政策变化或其它特殊原因确需终止合同的，双方协商解决。协商不成的，由违约方应支付守约方合同总合同金额20%的违约金。 2.甲方超过30日未支付服务费用的，按照逾期一日，甲方向乙方支付合同总费用日千分之五的违约金。 3.因一方其他违约行为造成另一方损失的，应当赔偿实际损失，但本合同另有约定除外。 4.本合同如需修改，终止或合同到期不再继续合作，甲乙双方必须提前30天书面告知对方，需要重新招标的，按国家政策执行。 （二）争议解决方式 甲乙双方因履行本合同发生纠纷时，应当协商解决，协商不成的，任何一方均有权向甲方所在地人民法院提起诉讼。</w:t>
      </w:r>
    </w:p>
    <w:p w14:paraId="4534BDC9">
      <w:pPr>
        <w:pStyle w:val="4"/>
        <w:outlineLvl w:val="2"/>
      </w:pPr>
      <w:r>
        <w:rPr>
          <w:rFonts w:ascii="仿宋_GB2312" w:hAnsi="仿宋_GB2312" w:eastAsia="仿宋_GB2312" w:cs="仿宋_GB2312"/>
          <w:b/>
          <w:sz w:val="28"/>
        </w:rPr>
        <w:t>3.4其他要求</w:t>
      </w:r>
    </w:p>
    <w:p w14:paraId="5C383223">
      <w:pPr>
        <w:pStyle w:val="4"/>
      </w:pPr>
      <w:r>
        <w:rPr>
          <w:rFonts w:ascii="仿宋_GB2312" w:hAnsi="仿宋_GB2312" w:eastAsia="仿宋_GB2312" w:cs="仿宋_GB2312"/>
        </w:rPr>
        <w:t>参与本项目采购的供应商应通过陕西省政府采购综合管理平台的项目电子化交易系统在线实施响应、磋商、报价等操作，磋商响应时无需供应商现场提供纸质响应文件，但在中标（成交）后中标（成交）供应商需在2个工作日内提供纸质响应文件正本一套、副本一套（电子版文件一份含完整的电子文件PDF版本），纸质响应文件应通过专用制作软件直接打印，确保与项目电子化交易系统中的电子响应文件保持一致，不允许修改和补充。递交文件地点：陕西省西安市曲江新区旺座曲江 F 座1708。</w:t>
      </w:r>
    </w:p>
    <w:p w14:paraId="0CE3A198">
      <w:pPr>
        <w:pStyle w:val="4"/>
        <w:rPr>
          <w:rFonts w:hint="eastAsia"/>
          <w:lang w:val="en-US" w:eastAsia="zh-Hans"/>
        </w:rPr>
      </w:pPr>
      <w:r>
        <w:rPr>
          <w:rFonts w:ascii="仿宋_GB2312" w:hAnsi="仿宋_GB2312" w:eastAsia="仿宋_GB2312" w:cs="仿宋_GB2312"/>
        </w:rPr>
        <w:t xml:space="preserve">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1E674BED"/>
    <w:rsid w:val="50316FD8"/>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2977</Words>
  <Characters>3298</Characters>
  <Lines>0</Lines>
  <Paragraphs>0</Paragraphs>
  <TotalTime>0</TotalTime>
  <ScaleCrop>false</ScaleCrop>
  <LinksUpToDate>false</LinksUpToDate>
  <CharactersWithSpaces>3343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R·</cp:lastModifiedBy>
  <dcterms:modified xsi:type="dcterms:W3CDTF">2026-10-15T07:37:54Z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eyJoZGlkIjoiY2U2MGYyZWMzYTEzNTg2MTQ1OGQ1NzQ1ZDhkMGM0Y2QiLCJ1c2VySWQiOiI0ODk2NzQ5NDEifQ==</vt:lpwstr>
  </property>
  <property fmtid="{D5CDD505-2E9C-101B-9397-08002B2CF9AE}" pid="4" name="ICV">
    <vt:lpwstr>0B4F3EA978024C5E82590550A32EE59B_13</vt:lpwstr>
  </property>
</Properties>
</file>