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版本号：2026-HXCT-15420260721001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数据安全与数据传输服务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2026-HXCT-154</w:t>
      </w:r>
      <w:r>
        <w:br/>
      </w:r>
      <w:r>
        <w:br/>
      </w:r>
      <w:r>
        <w:br/>
      </w:r>
    </w:p>
    <w:p>
      <w:pPr>
        <w:pStyle w:val="null3"/>
        <w:jc w:val="center"/>
        <w:outlineLvl w:val="2"/>
      </w:pPr>
      <w:r>
        <w:rPr>
          <w:rFonts w:ascii="仿宋_GB2312" w:hAnsi="仿宋_GB2312" w:cs="仿宋_GB2312" w:eastAsia="仿宋_GB2312"/>
          <w:sz w:val="28"/>
          <w:b/>
        </w:rPr>
        <w:t>陕西省考古研究院</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陕西省考古研究院</w:t>
      </w:r>
      <w:r>
        <w:rPr>
          <w:rFonts w:ascii="仿宋_GB2312" w:hAnsi="仿宋_GB2312" w:cs="仿宋_GB2312" w:eastAsia="仿宋_GB2312"/>
        </w:rPr>
        <w:t>委托，拟对</w:t>
      </w:r>
      <w:r>
        <w:rPr>
          <w:rFonts w:ascii="仿宋_GB2312" w:hAnsi="仿宋_GB2312" w:cs="仿宋_GB2312" w:eastAsia="仿宋_GB2312"/>
        </w:rPr>
        <w:t>数据安全与数据传输服务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2026-HXCT-154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数据安全与数据传输服务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位于陕西省考古研究院（西安市长安区终南大道（郭杜段）2999号）；服务期：365日。采购数据安全服务与数据传输专线，用以支撑单位网站、OA、田野考古发掘、文物库房管理、博物馆票务、导览、监控等系统运行所需要的多项信息系统的运行、AI大模型API调用服务及安全服务。数据安全服务达到等保2.0标准，传输速率达到1GB。</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能力：具有独立承担民事责任能力的法人或其他组织或经总公司授权的分公司或自然人，提供合法有效的统一社会信用代码营业执照（事业单位提供事业单位法人证书，自然人提供身份证明、分公司提供总公司授权及分公司营业执照）；供应商需在项目电子化交易系统中按要求上传相应证明文件并进行电子签章。</w:t>
      </w:r>
    </w:p>
    <w:p>
      <w:pPr>
        <w:pStyle w:val="null3"/>
      </w:pPr>
      <w:r>
        <w:rPr>
          <w:rFonts w:ascii="仿宋_GB2312" w:hAnsi="仿宋_GB2312" w:cs="仿宋_GB2312" w:eastAsia="仿宋_GB2312"/>
        </w:rPr>
        <w:t>2、没有重大违法记录：供应商参加政府采购活动前3年内在经营活动中没有重大违法记录；供应商需在项目电子化交易系统中按要求填写《响应函》完成承诺并进行电子签章。</w:t>
      </w:r>
    </w:p>
    <w:p>
      <w:pPr>
        <w:pStyle w:val="null3"/>
      </w:pPr>
      <w:r>
        <w:rPr>
          <w:rFonts w:ascii="仿宋_GB2312" w:hAnsi="仿宋_GB2312" w:cs="仿宋_GB2312" w:eastAsia="仿宋_GB2312"/>
        </w:rPr>
        <w:t>3、信用查询：截止至响应文件递交截止时间之前，供应商未被“信用中国”网站列入失信被执行人、重大税收违法失信主体名单，未被“中国政府采购网”网站列入政府采购严重违法失信行为记录名单；供应商应提供承诺书并进行电子签章，格式及内容参见“响应文件格式”。</w:t>
      </w:r>
    </w:p>
    <w:p>
      <w:pPr>
        <w:pStyle w:val="null3"/>
      </w:pPr>
      <w:r>
        <w:rPr>
          <w:rFonts w:ascii="仿宋_GB2312" w:hAnsi="仿宋_GB2312" w:cs="仿宋_GB2312" w:eastAsia="仿宋_GB2312"/>
        </w:rPr>
        <w:t>4、财务状况报告：财务状况报告：提供2024-2025年度任意一年经会计事务所或审计机构出具完整的财务审计报告(包括审计报告、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5、社保缴纳证明：社保缴纳证明：自2025年7月1日以来已缴存的至少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6、税收缴纳证明：税收缴纳证明：自2025年7月1日以来已缴纳的至少一个月的纳税证明或完税证明，纳税证明或完税证明上应有代收机构或税务机关的公章或业务专用章。依法免税的供应商应提供相关文件证明（复印件加盖供应商公章）。供应商需在项目电子化交易系统中按要求上传相应证明文件并进行电子签章。</w:t>
      </w:r>
    </w:p>
    <w:p>
      <w:pPr>
        <w:pStyle w:val="null3"/>
      </w:pPr>
      <w:r>
        <w:rPr>
          <w:rFonts w:ascii="仿宋_GB2312" w:hAnsi="仿宋_GB2312" w:cs="仿宋_GB2312" w:eastAsia="仿宋_GB2312"/>
        </w:rPr>
        <w:t>7、法定代表人授权书：法定代表人/负责人授权书（附法定代表人/负责人、被授权人身份证复印件）及被授权人身份证（法定代表人/负责人直接参加磋商，须提供法定代表人/负责人身份证明及身份证原件）；（供应商为非法人单位的，磋商响应文件中凡是需要法定代表人签字或盖章之处，非法人单位的负责人均参照执行；附负责人、被授权人身份证复印件）。供应商需在项目电子化交易系统中按要求上传相应证明文件并进行电子签章。</w:t>
      </w:r>
    </w:p>
    <w:p>
      <w:pPr>
        <w:pStyle w:val="null3"/>
      </w:pPr>
      <w:r>
        <w:rPr>
          <w:rFonts w:ascii="仿宋_GB2312" w:hAnsi="仿宋_GB2312" w:cs="仿宋_GB2312" w:eastAsia="仿宋_GB2312"/>
        </w:rPr>
        <w:t>8、控股管理关系：供应商单位负责人为同一人或者存在直接控股、管理关系的供应商，不得参加同一合同下的政府采购活动; 供应商需在项目电子化交易系统中按要求填写《响应函》完成承诺并进行电子签章。</w:t>
      </w:r>
    </w:p>
    <w:p>
      <w:pPr>
        <w:pStyle w:val="null3"/>
      </w:pPr>
      <w:r>
        <w:rPr>
          <w:rFonts w:ascii="仿宋_GB2312" w:hAnsi="仿宋_GB2312" w:cs="仿宋_GB2312" w:eastAsia="仿宋_GB2312"/>
        </w:rPr>
        <w:t>9、其他承诺：供应商具有履行合同所必需的设备和专业技术能力；未为本项目提供整体设计、规范编制或者项目管理、监理、检测等服务。供应商需在项目电子化交易系统中按要求填写《响应函》完成承诺并进行电子签章。</w:t>
      </w:r>
    </w:p>
    <w:p>
      <w:pPr>
        <w:pStyle w:val="null3"/>
      </w:pPr>
      <w:r>
        <w:rPr>
          <w:rFonts w:ascii="仿宋_GB2312" w:hAnsi="仿宋_GB2312" w:cs="仿宋_GB2312" w:eastAsia="仿宋_GB2312"/>
        </w:rPr>
        <w:t>10、联合体、分包：本项目不接受联合体响应，不允许分包。供应商提供《非联合体、不分包投标声明》，视为独立响应，不分包。供应商应提供《非联合体、不分包投标声明》并进行电子签章，格式及内容参见“响应文件格式”。</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陕西省考古研究院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陕西省西安市长安区郭杜街道周家庄村南文苑南路东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029-89053256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武文华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029-88010600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采购包1：896,000.00元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代理服务费收费标准：成交服务费参照《招标代理服务收费暂行办法 》（计价格[2002]1980号）文件服务类规定标准，按照优惠后的下浮费率收费计取。100以下 （不含）不下浮； 100（含）-500（不含）下浮10% ； 服务费不足5000元的，按5000元收取。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陕西省考古研究院</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陕西省考古研究院</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陕西省考古研究院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联系人：武文华</w:t>
      </w:r>
    </w:p>
    <w:p>
      <w:pPr>
        <w:pStyle w:val="null3"/>
      </w:pPr>
      <w:r>
        <w:rPr>
          <w:rFonts w:ascii="仿宋_GB2312" w:hAnsi="仿宋_GB2312" w:cs="仿宋_GB2312" w:eastAsia="仿宋_GB2312"/>
        </w:rPr>
        <w:t>联系电话：029-88010600</w:t>
      </w:r>
    </w:p>
    <w:p>
      <w:pPr>
        <w:pStyle w:val="null3"/>
      </w:pPr>
      <w:r>
        <w:rPr>
          <w:rFonts w:ascii="仿宋_GB2312" w:hAnsi="仿宋_GB2312" w:cs="仿宋_GB2312" w:eastAsia="仿宋_GB2312"/>
        </w:rPr>
        <w:t>地址：陕西省西安市未央区西安经济技术开发区凤城七路长和国际D座26层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位于陕西省考古研究院（西安市长安区终南大道（郭杜段）2999号）；服务期：365日。采购数据安全服务与数据传输专线，用以支撑单位网站、OA、田野考古发掘、文物库房管理、博物馆票务、导览、监控等系统运行所需要的多项信息系统的运行、AI大模型API调用服务及安全服务。数据安全服务达到等保2.0标准，传输速率达到1GB。</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896,000.00</w:t>
      </w:r>
    </w:p>
    <w:p>
      <w:pPr>
        <w:pStyle w:val="null3"/>
      </w:pPr>
      <w:r>
        <w:rPr>
          <w:rFonts w:ascii="仿宋_GB2312" w:hAnsi="仿宋_GB2312" w:cs="仿宋_GB2312" w:eastAsia="仿宋_GB2312"/>
        </w:rPr>
        <w:t>采购包最高限价（元）: 896,000.00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数据安全与数据传输服务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896,000.00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标的名称：数据安全与数据传输服务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rPr>
              <w:t>采购数据安全服务与数据传输专线，用以支撑单位网站、</w:t>
            </w:r>
            <w:r>
              <w:rPr>
                <w:rFonts w:ascii="仿宋_GB2312" w:hAnsi="仿宋_GB2312" w:cs="仿宋_GB2312" w:eastAsia="仿宋_GB2312"/>
                <w:sz w:val="28"/>
              </w:rPr>
              <w:t>OA、田野考古发掘、文物库房管理、博物馆票务、导览、监控等系统运行所需要的多项信息系统的运行、AI大模型API调用服务及安全服务。数据安全服务达到等保2.0标准，传输速率达到1GB。</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b/>
              </w:rPr>
              <w:t>技术要求</w:t>
            </w:r>
          </w:p>
          <w:p>
            <w:pPr>
              <w:pStyle w:val="null3"/>
            </w:pPr>
            <w:r>
              <w:rPr>
                <w:rFonts w:ascii="仿宋_GB2312" w:hAnsi="仿宋_GB2312" w:cs="仿宋_GB2312" w:eastAsia="仿宋_GB2312"/>
                <w:sz w:val="28"/>
              </w:rPr>
              <w:t>1、互联网专线技术要求</w:t>
            </w:r>
          </w:p>
          <w:p>
            <w:pPr>
              <w:pStyle w:val="null3"/>
            </w:pPr>
            <w:r>
              <w:rPr>
                <w:rFonts w:ascii="仿宋_GB2312" w:hAnsi="仿宋_GB2312" w:cs="仿宋_GB2312" w:eastAsia="仿宋_GB2312"/>
                <w:sz w:val="28"/>
              </w:rPr>
              <w:t>1.1、供应商提供的互联网出口数据链路宽带必须是独占宽带。</w:t>
            </w:r>
          </w:p>
          <w:p>
            <w:pPr>
              <w:pStyle w:val="null3"/>
            </w:pPr>
            <w:r>
              <w:rPr>
                <w:rFonts w:ascii="仿宋_GB2312" w:hAnsi="仿宋_GB2312" w:cs="仿宋_GB2312" w:eastAsia="仿宋_GB2312"/>
                <w:sz w:val="28"/>
              </w:rPr>
              <w:t>1.2、互联网光纤要求实现高速 INTERNET 接入，采用独享带宽接入(承诺 M 数可达)， 企业独享 VP 网络通道，网速不受宽带使用高峰期的影响。</w:t>
            </w:r>
          </w:p>
          <w:p>
            <w:pPr>
              <w:pStyle w:val="null3"/>
            </w:pPr>
            <w:r>
              <w:rPr>
                <w:rFonts w:ascii="仿宋_GB2312" w:hAnsi="仿宋_GB2312" w:cs="仿宋_GB2312" w:eastAsia="仿宋_GB2312"/>
                <w:sz w:val="28"/>
              </w:rPr>
              <w:t>1.3、供应商提供最少 3 个公网 IP 地址必须是全开放、无任何限制，以确保部署的门户网站及其它信息系统能被互联网用户顺利访问。</w:t>
            </w:r>
          </w:p>
          <w:p>
            <w:pPr>
              <w:pStyle w:val="null3"/>
            </w:pPr>
            <w:r>
              <w:rPr>
                <w:rFonts w:ascii="仿宋_GB2312" w:hAnsi="仿宋_GB2312" w:cs="仿宋_GB2312" w:eastAsia="仿宋_GB2312"/>
                <w:sz w:val="28"/>
              </w:rPr>
              <w:t>1.4、供应商必须具有通过自有网络资源实现网络安全防护的能力，以便于采购方在需要时通过付费方式及时获得服务。</w:t>
            </w:r>
          </w:p>
          <w:p>
            <w:pPr>
              <w:pStyle w:val="null3"/>
            </w:pPr>
            <w:r>
              <w:rPr>
                <w:rFonts w:ascii="仿宋_GB2312" w:hAnsi="仿宋_GB2312" w:cs="仿宋_GB2312" w:eastAsia="仿宋_GB2312"/>
                <w:sz w:val="28"/>
              </w:rPr>
              <w:t>1.5、供应商须提供中国互联网信息中心 CNNIC 发布的统计报告关于供应商(或所属电信运营商)拥有 IPV4 地址規模的证明材料，或 IPV4 地址规模证明材料，扫描件或复印件 并加盖供应商公章。</w:t>
            </w:r>
          </w:p>
          <w:p>
            <w:pPr>
              <w:pStyle w:val="null3"/>
            </w:pPr>
            <w:r>
              <w:rPr>
                <w:rFonts w:ascii="仿宋_GB2312" w:hAnsi="仿宋_GB2312" w:cs="仿宋_GB2312" w:eastAsia="仿宋_GB2312"/>
                <w:sz w:val="28"/>
              </w:rPr>
              <w:t>1.6、供应商须提供中国互联网信息中心 CNNIC 发布的统计报告关于供应商(或所属电信运营商)拥有国际互联网出口总带宽的页面截图，或国际互联网出口总带宽证明材料，扫描件或复印件并加盖供应商公章。</w:t>
            </w:r>
          </w:p>
          <w:p>
            <w:pPr>
              <w:pStyle w:val="null3"/>
            </w:pPr>
            <w:r>
              <w:rPr>
                <w:rFonts w:ascii="仿宋_GB2312" w:hAnsi="仿宋_GB2312" w:cs="仿宋_GB2312" w:eastAsia="仿宋_GB2312"/>
                <w:sz w:val="28"/>
                <w:shd w:fill="FFFF00" w:val="clear"/>
              </w:rPr>
              <w:t>2、云服务器要求</w:t>
            </w:r>
          </w:p>
          <w:p>
            <w:pPr>
              <w:pStyle w:val="null3"/>
            </w:pPr>
            <w:r>
              <w:rPr>
                <w:rFonts w:ascii="仿宋_GB2312" w:hAnsi="仿宋_GB2312" w:cs="仿宋_GB2312" w:eastAsia="仿宋_GB2312"/>
                <w:sz w:val="28"/>
                <w:shd w:fill="FFFF00" w:val="clear"/>
              </w:rPr>
              <w:t>2.1、云主机主频支持3.0GHz，最高支持的主频可达4.0GHz；内网带宽最高可达100Gbps</w:t>
            </w:r>
            <w:r>
              <w:rPr>
                <w:rFonts w:ascii="仿宋_GB2312" w:hAnsi="仿宋_GB2312" w:cs="仿宋_GB2312" w:eastAsia="仿宋_GB2312"/>
                <w:sz w:val="28"/>
                <w:shd w:fill="FFFF00" w:val="clear"/>
              </w:rPr>
              <w:t>。</w:t>
            </w:r>
          </w:p>
          <w:p>
            <w:pPr>
              <w:pStyle w:val="null3"/>
            </w:pPr>
            <w:r>
              <w:rPr>
                <w:rFonts w:ascii="仿宋_GB2312" w:hAnsi="仿宋_GB2312" w:cs="仿宋_GB2312" w:eastAsia="仿宋_GB2312"/>
                <w:sz w:val="28"/>
                <w:shd w:fill="FFFF00" w:val="clear"/>
              </w:rPr>
              <w:t>2.2、支持云主机生命周期管理，包括：创建、启动、停止、重启、释放（或删除）；支持强制停止、强制重启、停机不收费；支持根据实际使用场景进行选型创建云主机。</w:t>
            </w:r>
          </w:p>
          <w:p>
            <w:pPr>
              <w:pStyle w:val="null3"/>
            </w:pPr>
            <w:r>
              <w:rPr>
                <w:rFonts w:ascii="仿宋_GB2312" w:hAnsi="仿宋_GB2312" w:cs="仿宋_GB2312" w:eastAsia="仿宋_GB2312"/>
                <w:sz w:val="28"/>
                <w:shd w:fill="FFFF00" w:val="clear"/>
              </w:rPr>
              <w:t>2.3、支持云主机的费用管理，包括：续费、退订、购买相同配置、计费模式互转等；支持到期提醒。</w:t>
            </w:r>
          </w:p>
          <w:p>
            <w:pPr>
              <w:pStyle w:val="null3"/>
            </w:pPr>
            <w:r>
              <w:rPr>
                <w:rFonts w:ascii="仿宋_GB2312" w:hAnsi="仿宋_GB2312" w:cs="仿宋_GB2312" w:eastAsia="仿宋_GB2312"/>
                <w:sz w:val="28"/>
                <w:shd w:fill="FFFF00" w:val="clear"/>
              </w:rPr>
              <w:t>2.4、云主机纵向扩容能力，部分实例支持热升配能力。</w:t>
            </w:r>
          </w:p>
          <w:p>
            <w:pPr>
              <w:pStyle w:val="null3"/>
            </w:pPr>
            <w:r>
              <w:rPr>
                <w:rFonts w:ascii="仿宋_GB2312" w:hAnsi="仿宋_GB2312" w:cs="仿宋_GB2312" w:eastAsia="仿宋_GB2312"/>
                <w:sz w:val="28"/>
                <w:shd w:fill="FFFF00" w:val="clear"/>
              </w:rPr>
              <w:t>3、云服务存储服务要求</w:t>
            </w:r>
          </w:p>
          <w:p>
            <w:pPr>
              <w:pStyle w:val="null3"/>
            </w:pPr>
            <w:r>
              <w:rPr>
                <w:rFonts w:ascii="仿宋_GB2312" w:hAnsi="仿宋_GB2312" w:cs="仿宋_GB2312" w:eastAsia="仿宋_GB2312"/>
                <w:sz w:val="28"/>
                <w:shd w:fill="FFFF00" w:val="clear"/>
              </w:rPr>
              <w:t>3.1、单个云硬盘最大容量64TB，单盘最大IOPS1,000,000，单盘最大吞吐量4000MB/S，单队列访问时延可达200微秒。</w:t>
            </w:r>
          </w:p>
          <w:p>
            <w:pPr>
              <w:pStyle w:val="null3"/>
            </w:pPr>
            <w:r>
              <w:rPr>
                <w:rFonts w:ascii="仿宋_GB2312" w:hAnsi="仿宋_GB2312" w:cs="仿宋_GB2312" w:eastAsia="仿宋_GB2312"/>
                <w:sz w:val="28"/>
                <w:shd w:fill="FFFF00" w:val="clear"/>
              </w:rPr>
              <w:t>3.2、支持VBD模式和SCSI模式云硬盘。</w:t>
            </w:r>
          </w:p>
          <w:p>
            <w:pPr>
              <w:pStyle w:val="null3"/>
            </w:pPr>
            <w:r>
              <w:rPr>
                <w:rFonts w:ascii="仿宋_GB2312" w:hAnsi="仿宋_GB2312" w:cs="仿宋_GB2312" w:eastAsia="仿宋_GB2312"/>
                <w:sz w:val="28"/>
                <w:shd w:fill="FFFF00" w:val="clear"/>
              </w:rPr>
              <w:t>3.3、支持云硬盘回收站功能，可将按需计费的云硬盘在删除后进行临时保存，以提高客户在使用过程中的容错率。</w:t>
            </w:r>
          </w:p>
          <w:p>
            <w:pPr>
              <w:pStyle w:val="null3"/>
            </w:pPr>
            <w:r>
              <w:rPr>
                <w:rFonts w:ascii="仿宋_GB2312" w:hAnsi="仿宋_GB2312" w:cs="仿宋_GB2312" w:eastAsia="仿宋_GB2312"/>
                <w:sz w:val="28"/>
                <w:shd w:fill="FFFF00" w:val="clear"/>
              </w:rPr>
              <w:t>4、云服务负载均衡服务要求</w:t>
            </w:r>
          </w:p>
          <w:p>
            <w:pPr>
              <w:pStyle w:val="null3"/>
            </w:pPr>
            <w:r>
              <w:rPr>
                <w:rFonts w:ascii="仿宋_GB2312" w:hAnsi="仿宋_GB2312" w:cs="仿宋_GB2312" w:eastAsia="仿宋_GB2312"/>
                <w:sz w:val="28"/>
                <w:shd w:fill="FFFF00" w:val="clear"/>
              </w:rPr>
              <w:t>4.1、负载均衡支持多种规格，其中并发连接数最多2000W、新建连接数最多（CPS）100W、七层HTTP/HTTPS QPS最多支持30W。</w:t>
            </w:r>
          </w:p>
          <w:p>
            <w:pPr>
              <w:pStyle w:val="null3"/>
            </w:pPr>
            <w:r>
              <w:rPr>
                <w:rFonts w:ascii="仿宋_GB2312" w:hAnsi="仿宋_GB2312" w:cs="仿宋_GB2312" w:eastAsia="仿宋_GB2312"/>
                <w:sz w:val="28"/>
                <w:shd w:fill="FFFF00" w:val="clear"/>
              </w:rPr>
              <w:t>4.2、支持负载均衡管理，包括：创建、修改、删除、监听器配置、修改IPV4带宽、绑定/解绑IP、规格升级、绑定IPV6带宽。</w:t>
            </w:r>
          </w:p>
          <w:p>
            <w:pPr>
              <w:pStyle w:val="null3"/>
            </w:pPr>
            <w:r>
              <w:rPr>
                <w:rFonts w:ascii="仿宋_GB2312" w:hAnsi="仿宋_GB2312" w:cs="仿宋_GB2312" w:eastAsia="仿宋_GB2312"/>
                <w:sz w:val="28"/>
                <w:shd w:fill="FFFF00" w:val="clear"/>
              </w:rPr>
              <w:t>5、虚拟私有云服务要求</w:t>
            </w:r>
          </w:p>
          <w:p>
            <w:pPr>
              <w:pStyle w:val="null3"/>
            </w:pPr>
            <w:r>
              <w:rPr>
                <w:rFonts w:ascii="仿宋_GB2312" w:hAnsi="仿宋_GB2312" w:cs="仿宋_GB2312" w:eastAsia="仿宋_GB2312"/>
                <w:sz w:val="28"/>
                <w:shd w:fill="FFFF00" w:val="clear"/>
              </w:rPr>
              <w:t>5.1、支持免费为用户提供云上资源隔离、私密的虚拟网络环境。在提供服务的同时，涉及到的相关资源例如云主机、云硬盘等云上资源可据实收费。</w:t>
            </w:r>
          </w:p>
          <w:p>
            <w:pPr>
              <w:pStyle w:val="null3"/>
            </w:pPr>
            <w:r>
              <w:rPr>
                <w:rFonts w:ascii="仿宋_GB2312" w:hAnsi="仿宋_GB2312" w:cs="仿宋_GB2312" w:eastAsia="仿宋_GB2312"/>
                <w:sz w:val="28"/>
                <w:shd w:fill="FFFF00" w:val="clear"/>
              </w:rPr>
              <w:t>5.2、VPC内的子网具有Region级高可靠能力，同一子网支持跨多个AZ部署。</w:t>
            </w:r>
          </w:p>
          <w:p>
            <w:pPr>
              <w:pStyle w:val="null3"/>
            </w:pPr>
            <w:r>
              <w:rPr>
                <w:rFonts w:ascii="仿宋_GB2312" w:hAnsi="仿宋_GB2312" w:cs="仿宋_GB2312" w:eastAsia="仿宋_GB2312"/>
                <w:sz w:val="28"/>
                <w:shd w:fill="FFFF00" w:val="clear"/>
              </w:rPr>
              <w:t>6、云备份要求</w:t>
            </w:r>
          </w:p>
          <w:p>
            <w:pPr>
              <w:pStyle w:val="null3"/>
            </w:pPr>
            <w:r>
              <w:rPr>
                <w:rFonts w:ascii="仿宋_GB2312" w:hAnsi="仿宋_GB2312" w:cs="仿宋_GB2312" w:eastAsia="仿宋_GB2312"/>
                <w:sz w:val="28"/>
                <w:shd w:fill="FFFF00" w:val="clear"/>
              </w:rPr>
              <w:t xml:space="preserve">6.1、支持本地文件、本地数据库、本地磁盘、本地虚拟化、云内文件、云内数据库、云内磁盘的备份和恢复 </w:t>
            </w:r>
            <w:r>
              <w:rPr>
                <w:rFonts w:ascii="仿宋_GB2312" w:hAnsi="仿宋_GB2312" w:cs="仿宋_GB2312" w:eastAsia="仿宋_GB2312"/>
                <w:sz w:val="28"/>
                <w:shd w:fill="FFFF00" w:val="clear"/>
              </w:rPr>
              <w:t>。</w:t>
            </w:r>
          </w:p>
          <w:p>
            <w:pPr>
              <w:pStyle w:val="null3"/>
            </w:pPr>
            <w:r>
              <w:rPr>
                <w:rFonts w:ascii="仿宋_GB2312" w:hAnsi="仿宋_GB2312" w:cs="仿宋_GB2312" w:eastAsia="仿宋_GB2312"/>
                <w:sz w:val="28"/>
                <w:shd w:fill="FFFF00" w:val="clear"/>
              </w:rPr>
              <w:t>6.2、支持备份数据源端和目的端重删（删除多余的重复数据，重删比最高可达30:1）</w:t>
            </w:r>
            <w:r>
              <w:rPr>
                <w:rFonts w:ascii="仿宋_GB2312" w:hAnsi="仿宋_GB2312" w:cs="仿宋_GB2312" w:eastAsia="仿宋_GB2312"/>
                <w:sz w:val="28"/>
                <w:shd w:fill="FFFF00" w:val="clear"/>
              </w:rPr>
              <w:t>。</w:t>
            </w:r>
          </w:p>
          <w:p>
            <w:pPr>
              <w:pStyle w:val="null3"/>
            </w:pPr>
            <w:r>
              <w:rPr>
                <w:rFonts w:ascii="仿宋_GB2312" w:hAnsi="仿宋_GB2312" w:cs="仿宋_GB2312" w:eastAsia="仿宋_GB2312"/>
                <w:sz w:val="28"/>
                <w:shd w:fill="FFFF00" w:val="clear"/>
              </w:rPr>
              <w:t>6.3、支持定期的全量备份，可配置进行全量备份的备份间隔</w:t>
            </w:r>
          </w:p>
          <w:p>
            <w:pPr>
              <w:pStyle w:val="null3"/>
            </w:pPr>
            <w:r>
              <w:rPr>
                <w:rFonts w:ascii="仿宋_GB2312" w:hAnsi="仿宋_GB2312" w:cs="仿宋_GB2312" w:eastAsia="仿宋_GB2312"/>
                <w:sz w:val="28"/>
                <w:shd w:fill="FFFF00" w:val="clear"/>
              </w:rPr>
              <w:t>7</w:t>
            </w:r>
            <w:r>
              <w:rPr>
                <w:rFonts w:ascii="仿宋_GB2312" w:hAnsi="仿宋_GB2312" w:cs="仿宋_GB2312" w:eastAsia="仿宋_GB2312"/>
                <w:sz w:val="28"/>
                <w:shd w:fill="FFFF00" w:val="clear"/>
              </w:rPr>
              <w:t>.云防火墙要求：支持两层八级流量管控功能，每级管道支持源目的地址、用户、服务、应用等颗粒度的精确管控；应支持带宽借用，即同一根管道内的所有子管道，在确保自身管道流量正常转发的情况下，可将空闲流量分配给带宽不足的管道；应支持优先级调度，即在流量拥塞时，超出带宽限制的流量将进入等待队列，用户可设置优先级以确保某些应用优先调度。</w:t>
            </w:r>
          </w:p>
          <w:tbl>
            <w:tblPr>
              <w:tblInd w:type="dxa" w:w="120"/>
              <w:tblBorders>
                <w:top w:val="none" w:color="000000" w:sz="4"/>
                <w:left w:val="none" w:color="000000" w:sz="4"/>
                <w:bottom w:val="none" w:color="000000" w:sz="4"/>
                <w:right w:val="none" w:color="000000" w:sz="4"/>
                <w:insideH w:val="none"/>
                <w:insideV w:val="none"/>
              </w:tblBorders>
            </w:tblPr>
            <w:tblGrid>
              <w:gridCol w:w="148"/>
              <w:gridCol w:w="148"/>
              <w:gridCol w:w="672"/>
              <w:gridCol w:w="1112"/>
              <w:gridCol w:w="473"/>
            </w:tblGrid>
            <w:tr>
              <w:tc>
                <w:tcPr>
                  <w:tcW w:type="dxa" w:w="2553"/>
                  <w:gridSpan w:val="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8"/>
                      <w:b/>
                    </w:rPr>
                    <w:t>光纤专线技术规范要求</w:t>
                  </w:r>
                </w:p>
              </w:tc>
            </w:tr>
            <w:tr>
              <w:tc>
                <w:tcPr>
                  <w:tcW w:type="dxa" w:w="14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8"/>
                    </w:rPr>
                    <w:t>1</w:t>
                  </w:r>
                </w:p>
              </w:tc>
              <w:tc>
                <w:tcPr>
                  <w:tcW w:type="dxa" w:w="148"/>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8"/>
                    </w:rPr>
                    <w:t>线路</w:t>
                  </w:r>
                </w:p>
              </w:tc>
              <w:tc>
                <w:tcPr>
                  <w:tcW w:type="dxa" w:w="67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8"/>
                    </w:rPr>
                    <w:t>接入</w:t>
                  </w:r>
                </w:p>
              </w:tc>
              <w:tc>
                <w:tcPr>
                  <w:tcW w:type="dxa" w:w="111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8"/>
                    </w:rPr>
                    <w:t>光纤专线</w:t>
                  </w:r>
                </w:p>
              </w:tc>
              <w:tc>
                <w:tcPr>
                  <w:tcW w:type="dxa" w:w="47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8"/>
                    </w:rPr>
                    <w:t>指标说明</w:t>
                  </w:r>
                </w:p>
              </w:tc>
            </w:tr>
            <w:tr>
              <w:tc>
                <w:tcPr>
                  <w:tcW w:type="dxa" w:w="14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8"/>
                    </w:rPr>
                    <w:t>2</w:t>
                  </w:r>
                </w:p>
              </w:tc>
              <w:tc>
                <w:tcPr>
                  <w:tcW w:type="dxa" w:w="148"/>
                  <w:vMerge/>
                  <w:tcBorders>
                    <w:top w:val="none" w:color="000000" w:sz="4"/>
                    <w:left w:val="none" w:color="000000" w:sz="4"/>
                    <w:bottom w:val="single" w:color="000000" w:sz="8"/>
                    <w:right w:val="single" w:color="000000" w:sz="8"/>
                  </w:tcBorders>
                </w:tcPr>
                <w:p/>
              </w:tc>
              <w:tc>
                <w:tcPr>
                  <w:tcW w:type="dxa" w:w="67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8"/>
                    </w:rPr>
                    <w:t>带宽</w:t>
                  </w:r>
                </w:p>
              </w:tc>
              <w:tc>
                <w:tcPr>
                  <w:tcW w:type="dxa" w:w="111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8"/>
                    </w:rPr>
                    <w:t>1GB</w:t>
                  </w:r>
                </w:p>
              </w:tc>
              <w:tc>
                <w:tcPr>
                  <w:tcW w:type="dxa" w:w="47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8"/>
                    </w:rPr>
                    <w:t>1GB</w:t>
                  </w:r>
                </w:p>
              </w:tc>
            </w:tr>
            <w:tr>
              <w:tc>
                <w:tcPr>
                  <w:tcW w:type="dxa" w:w="14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8"/>
                    </w:rPr>
                    <w:t>3</w:t>
                  </w:r>
                </w:p>
              </w:tc>
              <w:tc>
                <w:tcPr>
                  <w:tcW w:type="dxa" w:w="148"/>
                  <w:vMerge/>
                  <w:tcBorders>
                    <w:top w:val="none" w:color="000000" w:sz="4"/>
                    <w:left w:val="none" w:color="000000" w:sz="4"/>
                    <w:bottom w:val="single" w:color="000000" w:sz="8"/>
                    <w:right w:val="single" w:color="000000" w:sz="8"/>
                  </w:tcBorders>
                </w:tcPr>
                <w:p/>
              </w:tc>
              <w:tc>
                <w:tcPr>
                  <w:tcW w:type="dxa" w:w="67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8"/>
                    </w:rPr>
                    <w:t>接口标准</w:t>
                  </w:r>
                </w:p>
              </w:tc>
              <w:tc>
                <w:tcPr>
                  <w:tcW w:type="dxa" w:w="111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8"/>
                    </w:rPr>
                    <w:t>IEEE 802.3z Ethernet</w:t>
                  </w:r>
                </w:p>
              </w:tc>
              <w:tc>
                <w:tcPr>
                  <w:tcW w:type="dxa" w:w="47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8"/>
                    </w:rPr>
                    <w:t>光口</w:t>
                  </w:r>
                </w:p>
              </w:tc>
            </w:tr>
            <w:tr>
              <w:tc>
                <w:tcPr>
                  <w:tcW w:type="dxa" w:w="14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8"/>
                    </w:rPr>
                    <w:t>4</w:t>
                  </w:r>
                </w:p>
              </w:tc>
              <w:tc>
                <w:tcPr>
                  <w:tcW w:type="dxa" w:w="148"/>
                  <w:vMerge/>
                  <w:tcBorders>
                    <w:top w:val="none" w:color="000000" w:sz="4"/>
                    <w:left w:val="none" w:color="000000" w:sz="4"/>
                    <w:bottom w:val="single" w:color="000000" w:sz="8"/>
                    <w:right w:val="single" w:color="000000" w:sz="8"/>
                  </w:tcBorders>
                </w:tcPr>
                <w:p/>
              </w:tc>
              <w:tc>
                <w:tcPr>
                  <w:tcW w:type="dxa" w:w="67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8"/>
                    </w:rPr>
                    <w:t>物理接口速率</w:t>
                  </w:r>
                </w:p>
              </w:tc>
              <w:tc>
                <w:tcPr>
                  <w:tcW w:type="dxa" w:w="111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8"/>
                    </w:rPr>
                    <w:t>RJ45</w:t>
                  </w:r>
                </w:p>
              </w:tc>
              <w:tc>
                <w:tcPr>
                  <w:tcW w:type="dxa" w:w="47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8"/>
                    </w:rPr>
                    <w:t>RJ45</w:t>
                  </w:r>
                </w:p>
              </w:tc>
            </w:tr>
            <w:tr>
              <w:tc>
                <w:tcPr>
                  <w:tcW w:type="dxa" w:w="14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8"/>
                    </w:rPr>
                    <w:t>5</w:t>
                  </w:r>
                </w:p>
              </w:tc>
              <w:tc>
                <w:tcPr>
                  <w:tcW w:type="dxa" w:w="148"/>
                  <w:vMerge/>
                  <w:tcBorders>
                    <w:top w:val="none" w:color="000000" w:sz="4"/>
                    <w:left w:val="none" w:color="000000" w:sz="4"/>
                    <w:bottom w:val="single" w:color="000000" w:sz="8"/>
                    <w:right w:val="single" w:color="000000" w:sz="8"/>
                  </w:tcBorders>
                </w:tcPr>
                <w:p/>
              </w:tc>
              <w:tc>
                <w:tcPr>
                  <w:tcW w:type="dxa" w:w="67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8"/>
                    </w:rPr>
                    <w:t>国际互联网</w:t>
                  </w:r>
                </w:p>
                <w:p>
                  <w:pPr>
                    <w:pStyle w:val="null3"/>
                  </w:pPr>
                  <w:r>
                    <w:rPr>
                      <w:rFonts w:ascii="仿宋_GB2312" w:hAnsi="仿宋_GB2312" w:cs="仿宋_GB2312" w:eastAsia="仿宋_GB2312"/>
                      <w:sz w:val="28"/>
                    </w:rPr>
                    <w:t>IP静态地址</w:t>
                  </w:r>
                </w:p>
              </w:tc>
              <w:tc>
                <w:tcPr>
                  <w:tcW w:type="dxa" w:w="111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8"/>
                    </w:rPr>
                    <w:t>3个</w:t>
                  </w:r>
                </w:p>
              </w:tc>
              <w:tc>
                <w:tcPr>
                  <w:tcW w:type="dxa" w:w="47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p>
              </w:tc>
            </w:tr>
            <w:tr>
              <w:tc>
                <w:tcPr>
                  <w:tcW w:type="dxa" w:w="14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8"/>
                    </w:rPr>
                    <w:t>6</w:t>
                  </w:r>
                </w:p>
              </w:tc>
              <w:tc>
                <w:tcPr>
                  <w:tcW w:type="dxa" w:w="148"/>
                  <w:vMerge/>
                  <w:tcBorders>
                    <w:top w:val="none" w:color="000000" w:sz="4"/>
                    <w:left w:val="none" w:color="000000" w:sz="4"/>
                    <w:bottom w:val="single" w:color="000000" w:sz="8"/>
                    <w:right w:val="single" w:color="000000" w:sz="8"/>
                  </w:tcBorders>
                </w:tcPr>
                <w:p/>
              </w:tc>
              <w:tc>
                <w:tcPr>
                  <w:tcW w:type="dxa" w:w="67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8"/>
                    </w:rPr>
                    <w:t>接口实测速率</w:t>
                  </w:r>
                </w:p>
              </w:tc>
              <w:tc>
                <w:tcPr>
                  <w:tcW w:type="dxa" w:w="111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8"/>
                    </w:rPr>
                    <w:t>≥接口理论速率×90%</w:t>
                  </w:r>
                </w:p>
              </w:tc>
              <w:tc>
                <w:tcPr>
                  <w:tcW w:type="dxa" w:w="47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p>
              </w:tc>
            </w:tr>
            <w:tr>
              <w:tc>
                <w:tcPr>
                  <w:tcW w:type="dxa" w:w="14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8"/>
                    </w:rPr>
                    <w:t>7</w:t>
                  </w:r>
                </w:p>
              </w:tc>
              <w:tc>
                <w:tcPr>
                  <w:tcW w:type="dxa" w:w="148"/>
                  <w:vMerge/>
                  <w:tcBorders>
                    <w:top w:val="none" w:color="000000" w:sz="4"/>
                    <w:left w:val="none" w:color="000000" w:sz="4"/>
                    <w:bottom w:val="single" w:color="000000" w:sz="8"/>
                    <w:right w:val="single" w:color="000000" w:sz="8"/>
                  </w:tcBorders>
                </w:tcPr>
                <w:p/>
              </w:tc>
              <w:tc>
                <w:tcPr>
                  <w:tcW w:type="dxa" w:w="67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8"/>
                    </w:rPr>
                    <w:t>上下行速率差</w:t>
                  </w:r>
                </w:p>
              </w:tc>
              <w:tc>
                <w:tcPr>
                  <w:tcW w:type="dxa" w:w="111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8"/>
                    </w:rPr>
                    <w:t>上行速率</w:t>
                  </w:r>
                  <w:r>
                    <w:rPr>
                      <w:rFonts w:ascii="仿宋_GB2312" w:hAnsi="仿宋_GB2312" w:cs="仿宋_GB2312" w:eastAsia="仿宋_GB2312"/>
                      <w:sz w:val="28"/>
                    </w:rPr>
                    <w:t>≥下行速率×99%</w:t>
                  </w:r>
                </w:p>
              </w:tc>
              <w:tc>
                <w:tcPr>
                  <w:tcW w:type="dxa" w:w="47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p>
              </w:tc>
            </w:tr>
            <w:tr>
              <w:tc>
                <w:tcPr>
                  <w:tcW w:type="dxa" w:w="14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8"/>
                    </w:rPr>
                    <w:t>8</w:t>
                  </w:r>
                </w:p>
              </w:tc>
              <w:tc>
                <w:tcPr>
                  <w:tcW w:type="dxa" w:w="148"/>
                  <w:vMerge/>
                  <w:tcBorders>
                    <w:top w:val="none" w:color="000000" w:sz="4"/>
                    <w:left w:val="none" w:color="000000" w:sz="4"/>
                    <w:bottom w:val="single" w:color="000000" w:sz="8"/>
                    <w:right w:val="single" w:color="000000" w:sz="8"/>
                  </w:tcBorders>
                </w:tcPr>
                <w:p/>
              </w:tc>
              <w:tc>
                <w:tcPr>
                  <w:tcW w:type="dxa" w:w="67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8"/>
                    </w:rPr>
                    <w:t>年中断次数</w:t>
                  </w:r>
                </w:p>
              </w:tc>
              <w:tc>
                <w:tcPr>
                  <w:tcW w:type="dxa" w:w="111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8"/>
                    </w:rPr>
                    <w:t>≤4</w:t>
                  </w:r>
                </w:p>
              </w:tc>
              <w:tc>
                <w:tcPr>
                  <w:tcW w:type="dxa" w:w="47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p>
              </w:tc>
            </w:tr>
            <w:tr>
              <w:tc>
                <w:tcPr>
                  <w:tcW w:type="dxa" w:w="14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8"/>
                    </w:rPr>
                    <w:t>9</w:t>
                  </w:r>
                </w:p>
              </w:tc>
              <w:tc>
                <w:tcPr>
                  <w:tcW w:type="dxa" w:w="148"/>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8"/>
                    </w:rPr>
                    <w:t>服务</w:t>
                  </w:r>
                </w:p>
              </w:tc>
              <w:tc>
                <w:tcPr>
                  <w:tcW w:type="dxa" w:w="67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8"/>
                    </w:rPr>
                    <w:t>故障处理时间</w:t>
                  </w:r>
                </w:p>
              </w:tc>
              <w:tc>
                <w:tcPr>
                  <w:tcW w:type="dxa" w:w="111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8"/>
                    </w:rPr>
                    <w:t>响应时间</w:t>
                  </w:r>
                  <w:r>
                    <w:rPr>
                      <w:rFonts w:ascii="仿宋_GB2312" w:hAnsi="仿宋_GB2312" w:cs="仿宋_GB2312" w:eastAsia="仿宋_GB2312"/>
                      <w:sz w:val="28"/>
                    </w:rPr>
                    <w:t>≤30min</w:t>
                  </w:r>
                </w:p>
                <w:p>
                  <w:pPr>
                    <w:pStyle w:val="null3"/>
                  </w:pPr>
                  <w:r>
                    <w:rPr>
                      <w:rFonts w:ascii="仿宋_GB2312" w:hAnsi="仿宋_GB2312" w:cs="仿宋_GB2312" w:eastAsia="仿宋_GB2312"/>
                      <w:sz w:val="28"/>
                    </w:rPr>
                    <w:t>排除时间</w:t>
                  </w:r>
                  <w:r>
                    <w:rPr>
                      <w:rFonts w:ascii="仿宋_GB2312" w:hAnsi="仿宋_GB2312" w:cs="仿宋_GB2312" w:eastAsia="仿宋_GB2312"/>
                      <w:sz w:val="28"/>
                    </w:rPr>
                    <w:t>≤4h</w:t>
                  </w:r>
                </w:p>
              </w:tc>
              <w:tc>
                <w:tcPr>
                  <w:tcW w:type="dxa" w:w="47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p>
              </w:tc>
            </w:tr>
            <w:tr>
              <w:tc>
                <w:tcPr>
                  <w:tcW w:type="dxa" w:w="14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8"/>
                    </w:rPr>
                    <w:t>10</w:t>
                  </w:r>
                </w:p>
              </w:tc>
              <w:tc>
                <w:tcPr>
                  <w:tcW w:type="dxa" w:w="148"/>
                  <w:vMerge/>
                  <w:tcBorders>
                    <w:top w:val="none" w:color="000000" w:sz="4"/>
                    <w:left w:val="none" w:color="000000" w:sz="4"/>
                    <w:bottom w:val="single" w:color="000000" w:sz="8"/>
                    <w:right w:val="single" w:color="000000" w:sz="8"/>
                  </w:tcBorders>
                </w:tcPr>
                <w:p/>
              </w:tc>
              <w:tc>
                <w:tcPr>
                  <w:tcW w:type="dxa" w:w="67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8"/>
                    </w:rPr>
                    <w:t>线路开通时间</w:t>
                  </w:r>
                </w:p>
              </w:tc>
              <w:tc>
                <w:tcPr>
                  <w:tcW w:type="dxa" w:w="111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8"/>
                    </w:rPr>
                    <w:t>20个工作日</w:t>
                  </w:r>
                </w:p>
              </w:tc>
              <w:tc>
                <w:tcPr>
                  <w:tcW w:type="dxa" w:w="47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rPr>
                    <w:t xml:space="preserve"> </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8"/>
              </w:rPr>
              <w:t>工作内容</w:t>
            </w:r>
          </w:p>
          <w:p>
            <w:pPr>
              <w:pStyle w:val="null3"/>
              <w:jc w:val="both"/>
            </w:pPr>
            <w:r>
              <w:rPr>
                <w:rFonts w:ascii="仿宋_GB2312" w:hAnsi="仿宋_GB2312" w:cs="仿宋_GB2312" w:eastAsia="仿宋_GB2312"/>
                <w:sz w:val="28"/>
              </w:rPr>
              <w:t>1.云主机</w:t>
            </w:r>
          </w:p>
          <w:tbl>
            <w:tblPr>
              <w:tblInd w:type="dxa" w:w="120"/>
              <w:tblBorders>
                <w:top w:val="none" w:color="000000" w:sz="4"/>
                <w:left w:val="none" w:color="000000" w:sz="4"/>
                <w:bottom w:val="none" w:color="000000" w:sz="4"/>
                <w:right w:val="none" w:color="000000" w:sz="4"/>
                <w:insideH w:val="none"/>
                <w:insideV w:val="none"/>
              </w:tblBorders>
            </w:tblPr>
            <w:tblGrid>
              <w:gridCol w:w="303"/>
              <w:gridCol w:w="234"/>
              <w:gridCol w:w="183"/>
              <w:gridCol w:w="381"/>
              <w:gridCol w:w="537"/>
              <w:gridCol w:w="417"/>
              <w:gridCol w:w="482"/>
            </w:tblGrid>
            <w:tr>
              <w:tc>
                <w:tcPr>
                  <w:tcW w:type="dxa" w:w="303"/>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23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vcpu</w:t>
                  </w:r>
                </w:p>
              </w:tc>
              <w:tc>
                <w:tcPr>
                  <w:tcW w:type="dxa" w:w="183"/>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内存</w:t>
                  </w:r>
                </w:p>
              </w:tc>
              <w:tc>
                <w:tcPr>
                  <w:tcW w:type="dxa" w:w="381"/>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系统盘</w:t>
                  </w:r>
                  <w:r>
                    <w:rPr>
                      <w:rFonts w:ascii="仿宋_GB2312" w:hAnsi="仿宋_GB2312" w:cs="仿宋_GB2312" w:eastAsia="仿宋_GB2312"/>
                      <w:sz w:val="28"/>
                    </w:rPr>
                    <w:t>SAS（GB）</w:t>
                  </w:r>
                </w:p>
              </w:tc>
              <w:tc>
                <w:tcPr>
                  <w:tcW w:type="dxa" w:w="53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数据盘</w:t>
                  </w:r>
                  <w:r>
                    <w:rPr>
                      <w:rFonts w:ascii="仿宋_GB2312" w:hAnsi="仿宋_GB2312" w:cs="仿宋_GB2312" w:eastAsia="仿宋_GB2312"/>
                      <w:sz w:val="28"/>
                    </w:rPr>
                    <w:t>SAS（GB）</w:t>
                  </w:r>
                </w:p>
              </w:tc>
              <w:tc>
                <w:tcPr>
                  <w:tcW w:type="dxa" w:w="41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带宽（</w:t>
                  </w:r>
                  <w:r>
                    <w:rPr>
                      <w:rFonts w:ascii="仿宋_GB2312" w:hAnsi="仿宋_GB2312" w:cs="仿宋_GB2312" w:eastAsia="仿宋_GB2312"/>
                      <w:sz w:val="28"/>
                    </w:rPr>
                    <w:t>M）</w:t>
                  </w:r>
                </w:p>
              </w:tc>
              <w:tc>
                <w:tcPr>
                  <w:tcW w:type="dxa" w:w="48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备注</w:t>
                  </w:r>
                </w:p>
              </w:tc>
            </w:tr>
            <w:tr>
              <w:tc>
                <w:tcPr>
                  <w:tcW w:type="dxa" w:w="30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云主机</w:t>
                  </w:r>
                </w:p>
              </w:tc>
              <w:tc>
                <w:tcPr>
                  <w:tcW w:type="dxa" w:w="23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16</w:t>
                  </w:r>
                </w:p>
              </w:tc>
              <w:tc>
                <w:tcPr>
                  <w:tcW w:type="dxa" w:w="18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128</w:t>
                  </w:r>
                </w:p>
              </w:tc>
              <w:tc>
                <w:tcPr>
                  <w:tcW w:type="dxa" w:w="38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80</w:t>
                  </w:r>
                </w:p>
              </w:tc>
              <w:tc>
                <w:tcPr>
                  <w:tcW w:type="dxa" w:w="5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8000</w:t>
                  </w:r>
                </w:p>
              </w:tc>
              <w:tc>
                <w:tcPr>
                  <w:tcW w:type="dxa" w:w="417"/>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100M共享带宽</w:t>
                  </w:r>
                </w:p>
              </w:tc>
              <w:tc>
                <w:tcPr>
                  <w:tcW w:type="dxa" w:w="482"/>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数据盘是弹性盘</w:t>
                  </w:r>
                  <w:r>
                    <w:rPr>
                      <w:rFonts w:ascii="仿宋_GB2312" w:hAnsi="仿宋_GB2312" w:cs="仿宋_GB2312" w:eastAsia="仿宋_GB2312"/>
                      <w:sz w:val="28"/>
                    </w:rPr>
                    <w:t>可增减</w:t>
                  </w:r>
                </w:p>
              </w:tc>
            </w:tr>
            <w:tr>
              <w:tc>
                <w:tcPr>
                  <w:tcW w:type="dxa" w:w="30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云主机</w:t>
                  </w:r>
                </w:p>
              </w:tc>
              <w:tc>
                <w:tcPr>
                  <w:tcW w:type="dxa" w:w="23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8</w:t>
                  </w:r>
                </w:p>
              </w:tc>
              <w:tc>
                <w:tcPr>
                  <w:tcW w:type="dxa" w:w="18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32</w:t>
                  </w:r>
                </w:p>
              </w:tc>
              <w:tc>
                <w:tcPr>
                  <w:tcW w:type="dxa" w:w="38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80</w:t>
                  </w:r>
                </w:p>
              </w:tc>
              <w:tc>
                <w:tcPr>
                  <w:tcW w:type="dxa" w:w="5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3000</w:t>
                  </w:r>
                </w:p>
              </w:tc>
              <w:tc>
                <w:tcPr>
                  <w:tcW w:type="dxa" w:w="417"/>
                  <w:vMerge/>
                  <w:tcBorders>
                    <w:top w:val="none" w:color="000000" w:sz="4"/>
                    <w:left w:val="none" w:color="000000" w:sz="4"/>
                    <w:bottom w:val="single" w:color="000000" w:sz="8"/>
                    <w:right w:val="single" w:color="000000" w:sz="8"/>
                  </w:tcBorders>
                </w:tcPr>
                <w:p/>
              </w:tc>
              <w:tc>
                <w:tcPr>
                  <w:tcW w:type="dxa" w:w="482"/>
                  <w:vMerge/>
                  <w:tcBorders>
                    <w:top w:val="none" w:color="000000" w:sz="4"/>
                    <w:left w:val="none" w:color="000000" w:sz="4"/>
                    <w:bottom w:val="single" w:color="000000" w:sz="8"/>
                    <w:right w:val="single" w:color="000000" w:sz="8"/>
                  </w:tcBorders>
                </w:tcPr>
                <w:p/>
              </w:tc>
            </w:tr>
            <w:tr>
              <w:tc>
                <w:tcPr>
                  <w:tcW w:type="dxa" w:w="30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云主机</w:t>
                  </w:r>
                </w:p>
              </w:tc>
              <w:tc>
                <w:tcPr>
                  <w:tcW w:type="dxa" w:w="23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8</w:t>
                  </w:r>
                </w:p>
              </w:tc>
              <w:tc>
                <w:tcPr>
                  <w:tcW w:type="dxa" w:w="18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16</w:t>
                  </w:r>
                </w:p>
              </w:tc>
              <w:tc>
                <w:tcPr>
                  <w:tcW w:type="dxa" w:w="38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40</w:t>
                  </w:r>
                </w:p>
              </w:tc>
              <w:tc>
                <w:tcPr>
                  <w:tcW w:type="dxa" w:w="5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1000</w:t>
                  </w:r>
                </w:p>
              </w:tc>
              <w:tc>
                <w:tcPr>
                  <w:tcW w:type="dxa" w:w="417"/>
                  <w:vMerge/>
                  <w:tcBorders>
                    <w:top w:val="none" w:color="000000" w:sz="4"/>
                    <w:left w:val="none" w:color="000000" w:sz="4"/>
                    <w:bottom w:val="single" w:color="000000" w:sz="8"/>
                    <w:right w:val="single" w:color="000000" w:sz="8"/>
                  </w:tcBorders>
                </w:tcPr>
                <w:p/>
              </w:tc>
              <w:tc>
                <w:tcPr>
                  <w:tcW w:type="dxa" w:w="482"/>
                  <w:vMerge/>
                  <w:tcBorders>
                    <w:top w:val="none" w:color="000000" w:sz="4"/>
                    <w:left w:val="none" w:color="000000" w:sz="4"/>
                    <w:bottom w:val="single" w:color="000000" w:sz="8"/>
                    <w:right w:val="single" w:color="000000" w:sz="8"/>
                  </w:tcBorders>
                </w:tcPr>
                <w:p/>
              </w:tc>
            </w:tr>
            <w:tr>
              <w:tc>
                <w:tcPr>
                  <w:tcW w:type="dxa" w:w="30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云主机</w:t>
                  </w:r>
                </w:p>
              </w:tc>
              <w:tc>
                <w:tcPr>
                  <w:tcW w:type="dxa" w:w="23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8</w:t>
                  </w:r>
                </w:p>
              </w:tc>
              <w:tc>
                <w:tcPr>
                  <w:tcW w:type="dxa" w:w="18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16</w:t>
                  </w:r>
                </w:p>
              </w:tc>
              <w:tc>
                <w:tcPr>
                  <w:tcW w:type="dxa" w:w="38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40</w:t>
                  </w:r>
                </w:p>
              </w:tc>
              <w:tc>
                <w:tcPr>
                  <w:tcW w:type="dxa" w:w="5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1000</w:t>
                  </w:r>
                </w:p>
              </w:tc>
              <w:tc>
                <w:tcPr>
                  <w:tcW w:type="dxa" w:w="417"/>
                  <w:vMerge/>
                  <w:tcBorders>
                    <w:top w:val="none" w:color="000000" w:sz="4"/>
                    <w:left w:val="none" w:color="000000" w:sz="4"/>
                    <w:bottom w:val="single" w:color="000000" w:sz="8"/>
                    <w:right w:val="single" w:color="000000" w:sz="8"/>
                  </w:tcBorders>
                </w:tcPr>
                <w:p/>
              </w:tc>
              <w:tc>
                <w:tcPr>
                  <w:tcW w:type="dxa" w:w="482"/>
                  <w:vMerge/>
                  <w:tcBorders>
                    <w:top w:val="none" w:color="000000" w:sz="4"/>
                    <w:left w:val="none" w:color="000000" w:sz="4"/>
                    <w:bottom w:val="single" w:color="000000" w:sz="8"/>
                    <w:right w:val="single" w:color="000000" w:sz="8"/>
                  </w:tcBorders>
                </w:tcPr>
                <w:p/>
              </w:tc>
            </w:tr>
            <w:tr>
              <w:tc>
                <w:tcPr>
                  <w:tcW w:type="dxa" w:w="30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云主机</w:t>
                  </w:r>
                </w:p>
              </w:tc>
              <w:tc>
                <w:tcPr>
                  <w:tcW w:type="dxa" w:w="23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2</w:t>
                  </w:r>
                </w:p>
              </w:tc>
              <w:tc>
                <w:tcPr>
                  <w:tcW w:type="dxa" w:w="18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4</w:t>
                  </w:r>
                </w:p>
              </w:tc>
              <w:tc>
                <w:tcPr>
                  <w:tcW w:type="dxa" w:w="38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50</w:t>
                  </w:r>
                </w:p>
              </w:tc>
              <w:tc>
                <w:tcPr>
                  <w:tcW w:type="dxa" w:w="5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100</w:t>
                  </w:r>
                </w:p>
              </w:tc>
              <w:tc>
                <w:tcPr>
                  <w:tcW w:type="dxa" w:w="417"/>
                  <w:vMerge/>
                  <w:tcBorders>
                    <w:top w:val="none" w:color="000000" w:sz="4"/>
                    <w:left w:val="none" w:color="000000" w:sz="4"/>
                    <w:bottom w:val="single" w:color="000000" w:sz="8"/>
                    <w:right w:val="single" w:color="000000" w:sz="8"/>
                  </w:tcBorders>
                </w:tcPr>
                <w:p/>
              </w:tc>
              <w:tc>
                <w:tcPr>
                  <w:tcW w:type="dxa" w:w="482"/>
                  <w:vMerge/>
                  <w:tcBorders>
                    <w:top w:val="none" w:color="000000" w:sz="4"/>
                    <w:left w:val="none" w:color="000000" w:sz="4"/>
                    <w:bottom w:val="single" w:color="000000" w:sz="8"/>
                    <w:right w:val="single" w:color="000000" w:sz="8"/>
                  </w:tcBorders>
                </w:tcPr>
                <w:p/>
              </w:tc>
            </w:tr>
            <w:tr>
              <w:tc>
                <w:tcPr>
                  <w:tcW w:type="dxa" w:w="30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云主机</w:t>
                  </w:r>
                </w:p>
              </w:tc>
              <w:tc>
                <w:tcPr>
                  <w:tcW w:type="dxa" w:w="23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8</w:t>
                  </w:r>
                </w:p>
              </w:tc>
              <w:tc>
                <w:tcPr>
                  <w:tcW w:type="dxa" w:w="18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16</w:t>
                  </w:r>
                </w:p>
              </w:tc>
              <w:tc>
                <w:tcPr>
                  <w:tcW w:type="dxa" w:w="38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80</w:t>
                  </w:r>
                </w:p>
              </w:tc>
              <w:tc>
                <w:tcPr>
                  <w:tcW w:type="dxa" w:w="5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1000</w:t>
                  </w:r>
                </w:p>
              </w:tc>
              <w:tc>
                <w:tcPr>
                  <w:tcW w:type="dxa" w:w="417"/>
                  <w:vMerge/>
                  <w:tcBorders>
                    <w:top w:val="none" w:color="000000" w:sz="4"/>
                    <w:left w:val="none" w:color="000000" w:sz="4"/>
                    <w:bottom w:val="single" w:color="000000" w:sz="8"/>
                    <w:right w:val="single" w:color="000000" w:sz="8"/>
                  </w:tcBorders>
                </w:tcPr>
                <w:p/>
              </w:tc>
              <w:tc>
                <w:tcPr>
                  <w:tcW w:type="dxa" w:w="482"/>
                  <w:vMerge/>
                  <w:tcBorders>
                    <w:top w:val="none" w:color="000000" w:sz="4"/>
                    <w:left w:val="none" w:color="000000" w:sz="4"/>
                    <w:bottom w:val="single" w:color="000000" w:sz="8"/>
                    <w:right w:val="single" w:color="000000" w:sz="8"/>
                  </w:tcBorders>
                </w:tcPr>
                <w:p/>
              </w:tc>
            </w:tr>
            <w:tr>
              <w:tc>
                <w:tcPr>
                  <w:tcW w:type="dxa" w:w="30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云主机</w:t>
                  </w:r>
                </w:p>
              </w:tc>
              <w:tc>
                <w:tcPr>
                  <w:tcW w:type="dxa" w:w="23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4</w:t>
                  </w:r>
                </w:p>
              </w:tc>
              <w:tc>
                <w:tcPr>
                  <w:tcW w:type="dxa" w:w="18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8</w:t>
                  </w:r>
                </w:p>
              </w:tc>
              <w:tc>
                <w:tcPr>
                  <w:tcW w:type="dxa" w:w="38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60</w:t>
                  </w:r>
                </w:p>
              </w:tc>
              <w:tc>
                <w:tcPr>
                  <w:tcW w:type="dxa" w:w="5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417"/>
                  <w:vMerge/>
                  <w:tcBorders>
                    <w:top w:val="none" w:color="000000" w:sz="4"/>
                    <w:left w:val="none" w:color="000000" w:sz="4"/>
                    <w:bottom w:val="single" w:color="000000" w:sz="8"/>
                    <w:right w:val="single" w:color="000000" w:sz="8"/>
                  </w:tcBorders>
                </w:tcPr>
                <w:p/>
              </w:tc>
              <w:tc>
                <w:tcPr>
                  <w:tcW w:type="dxa" w:w="482"/>
                  <w:vMerge/>
                  <w:tcBorders>
                    <w:top w:val="none" w:color="000000" w:sz="4"/>
                    <w:left w:val="none" w:color="000000" w:sz="4"/>
                    <w:bottom w:val="single" w:color="000000" w:sz="8"/>
                    <w:right w:val="single" w:color="000000" w:sz="8"/>
                  </w:tcBorders>
                </w:tcPr>
                <w:p/>
              </w:tc>
            </w:tr>
            <w:tr>
              <w:tc>
                <w:tcPr>
                  <w:tcW w:type="dxa" w:w="30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云主机</w:t>
                  </w:r>
                </w:p>
              </w:tc>
              <w:tc>
                <w:tcPr>
                  <w:tcW w:type="dxa" w:w="23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16</w:t>
                  </w:r>
                </w:p>
              </w:tc>
              <w:tc>
                <w:tcPr>
                  <w:tcW w:type="dxa" w:w="18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128</w:t>
                  </w:r>
                </w:p>
              </w:tc>
              <w:tc>
                <w:tcPr>
                  <w:tcW w:type="dxa" w:w="38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80</w:t>
                  </w:r>
                </w:p>
              </w:tc>
              <w:tc>
                <w:tcPr>
                  <w:tcW w:type="dxa" w:w="5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5200</w:t>
                  </w:r>
                </w:p>
              </w:tc>
              <w:tc>
                <w:tcPr>
                  <w:tcW w:type="dxa" w:w="417"/>
                  <w:vMerge/>
                  <w:tcBorders>
                    <w:top w:val="none" w:color="000000" w:sz="4"/>
                    <w:left w:val="none" w:color="000000" w:sz="4"/>
                    <w:bottom w:val="single" w:color="000000" w:sz="8"/>
                    <w:right w:val="single" w:color="000000" w:sz="8"/>
                  </w:tcBorders>
                </w:tcPr>
                <w:p/>
              </w:tc>
              <w:tc>
                <w:tcPr>
                  <w:tcW w:type="dxa" w:w="482"/>
                  <w:vMerge/>
                  <w:tcBorders>
                    <w:top w:val="none" w:color="000000" w:sz="4"/>
                    <w:left w:val="none" w:color="000000" w:sz="4"/>
                    <w:bottom w:val="single" w:color="000000" w:sz="8"/>
                    <w:right w:val="single" w:color="000000" w:sz="8"/>
                  </w:tcBorders>
                </w:tcPr>
                <w:p/>
              </w:tc>
            </w:tr>
          </w:tbl>
          <w:p>
            <w:pPr>
              <w:pStyle w:val="null3"/>
              <w:jc w:val="both"/>
            </w:pPr>
            <w:r>
              <w:rPr>
                <w:rFonts w:ascii="仿宋_GB2312" w:hAnsi="仿宋_GB2312" w:cs="仿宋_GB2312" w:eastAsia="仿宋_GB2312"/>
                <w:sz w:val="28"/>
              </w:rPr>
              <w:t>2.互联网专线1GB带宽</w:t>
            </w:r>
          </w:p>
          <w:p>
            <w:pPr>
              <w:pStyle w:val="null3"/>
              <w:jc w:val="both"/>
            </w:pPr>
            <w:r>
              <w:rPr>
                <w:rFonts w:ascii="仿宋_GB2312" w:hAnsi="仿宋_GB2312" w:cs="仿宋_GB2312" w:eastAsia="仿宋_GB2312"/>
                <w:sz w:val="28"/>
              </w:rPr>
              <w:t>采购</w:t>
            </w:r>
            <w:r>
              <w:rPr>
                <w:rFonts w:ascii="仿宋_GB2312" w:hAnsi="仿宋_GB2312" w:cs="仿宋_GB2312" w:eastAsia="仿宋_GB2312"/>
                <w:sz w:val="28"/>
              </w:rPr>
              <w:t>1GB光纤专线和云计算资源、安全服务，用以支撑网站、OA、田野发掘、库房管理、票务、导览等单位运行所需的多项信息系统的托管架设。</w:t>
            </w:r>
          </w:p>
          <w:p>
            <w:pPr>
              <w:pStyle w:val="null3"/>
              <w:jc w:val="both"/>
            </w:pPr>
            <w:r>
              <w:rPr>
                <w:rFonts w:ascii="仿宋_GB2312" w:hAnsi="仿宋_GB2312" w:cs="仿宋_GB2312" w:eastAsia="仿宋_GB2312"/>
                <w:sz w:val="28"/>
              </w:rPr>
              <w:t>3.云安全类</w:t>
            </w:r>
          </w:p>
          <w:tbl>
            <w:tblPr>
              <w:tblInd w:type="dxa" w:w="120"/>
              <w:tblBorders>
                <w:top w:val="none" w:color="000000" w:sz="4"/>
                <w:left w:val="none" w:color="000000" w:sz="4"/>
                <w:bottom w:val="none" w:color="000000" w:sz="4"/>
                <w:right w:val="none" w:color="000000" w:sz="4"/>
                <w:insideH w:val="none"/>
                <w:insideV w:val="none"/>
              </w:tblBorders>
            </w:tblPr>
            <w:tblGrid>
              <w:gridCol w:w="613"/>
              <w:gridCol w:w="1153"/>
              <w:gridCol w:w="787"/>
            </w:tblGrid>
            <w:tr>
              <w:tc>
                <w:tcPr>
                  <w:tcW w:type="dxa" w:w="613"/>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云防火墙</w:t>
                  </w:r>
                </w:p>
              </w:tc>
              <w:tc>
                <w:tcPr>
                  <w:tcW w:type="dxa" w:w="1153"/>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满足</w:t>
                  </w:r>
                  <w:r>
                    <w:rPr>
                      <w:rFonts w:ascii="仿宋_GB2312" w:hAnsi="仿宋_GB2312" w:cs="仿宋_GB2312" w:eastAsia="仿宋_GB2312"/>
                      <w:sz w:val="28"/>
                    </w:rPr>
                    <w:t>“云主机数量”授权</w:t>
                  </w:r>
                </w:p>
              </w:tc>
              <w:tc>
                <w:tcPr>
                  <w:tcW w:type="dxa" w:w="787"/>
                  <w:vMerge w:val="restart"/>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等保二级</w:t>
                  </w:r>
                </w:p>
              </w:tc>
            </w:tr>
            <w:tr>
              <w:tc>
                <w:tcPr>
                  <w:tcW w:type="dxa" w:w="6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日志审计</w:t>
                  </w:r>
                </w:p>
              </w:tc>
              <w:tc>
                <w:tcPr>
                  <w:tcW w:type="dxa" w:w="1153"/>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满足资产数使用</w:t>
                  </w:r>
                </w:p>
              </w:tc>
              <w:tc>
                <w:tcPr>
                  <w:tcW w:type="dxa" w:w="787"/>
                  <w:vMerge/>
                  <w:tcBorders>
                    <w:top w:val="single" w:color="000000" w:sz="8"/>
                    <w:left w:val="none" w:color="000000" w:sz="4"/>
                    <w:bottom w:val="single" w:color="000000" w:sz="8"/>
                    <w:right w:val="single" w:color="000000" w:sz="8"/>
                  </w:tcBorders>
                </w:tcPr>
                <w:p/>
              </w:tc>
            </w:tr>
            <w:tr>
              <w:tc>
                <w:tcPr>
                  <w:tcW w:type="dxa" w:w="6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安全中心</w:t>
                  </w:r>
                </w:p>
              </w:tc>
              <w:tc>
                <w:tcPr>
                  <w:tcW w:type="dxa" w:w="1153"/>
                  <w:vMerge/>
                  <w:tcBorders>
                    <w:top w:val="none" w:color="000000" w:sz="4"/>
                    <w:left w:val="none" w:color="000000" w:sz="4"/>
                    <w:bottom w:val="single" w:color="000000" w:sz="8"/>
                    <w:right w:val="single" w:color="000000" w:sz="8"/>
                  </w:tcBorders>
                </w:tcPr>
                <w:p/>
              </w:tc>
              <w:tc>
                <w:tcPr>
                  <w:tcW w:type="dxa" w:w="787"/>
                  <w:vMerge/>
                  <w:tcBorders>
                    <w:top w:val="single" w:color="000000" w:sz="8"/>
                    <w:left w:val="none" w:color="000000" w:sz="4"/>
                    <w:bottom w:val="single" w:color="000000" w:sz="8"/>
                    <w:right w:val="single" w:color="000000" w:sz="8"/>
                  </w:tcBorders>
                </w:tcPr>
                <w:p/>
              </w:tc>
            </w:tr>
            <w:tr>
              <w:tc>
                <w:tcPr>
                  <w:tcW w:type="dxa" w:w="6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云主机备份</w:t>
                  </w:r>
                </w:p>
              </w:tc>
              <w:tc>
                <w:tcPr>
                  <w:tcW w:type="dxa" w:w="1940"/>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以实际用量计算</w:t>
                  </w:r>
                </w:p>
              </w:tc>
            </w:tr>
            <w:tr>
              <w:tc>
                <w:tcPr>
                  <w:tcW w:type="dxa" w:w="61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云存储</w:t>
                  </w:r>
                </w:p>
              </w:tc>
              <w:tc>
                <w:tcPr>
                  <w:tcW w:type="dxa" w:w="1940"/>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以实际用量计算</w:t>
                  </w:r>
                </w:p>
              </w:tc>
            </w:tr>
          </w:tbl>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rPr>
              <w:t xml:space="preserve"> </w:t>
            </w:r>
            <w:r>
              <w:rPr>
                <w:rFonts w:ascii="仿宋_GB2312" w:hAnsi="仿宋_GB2312" w:cs="仿宋_GB2312" w:eastAsia="仿宋_GB2312"/>
                <w:sz w:val="28"/>
              </w:rPr>
              <w:t>大模型</w:t>
            </w:r>
          </w:p>
          <w:tbl>
            <w:tblPr>
              <w:tblInd w:type="dxa" w:w="120"/>
              <w:tblBorders>
                <w:top w:val="none" w:color="000000" w:sz="4"/>
                <w:left w:val="none" w:color="000000" w:sz="4"/>
                <w:bottom w:val="none" w:color="000000" w:sz="4"/>
                <w:right w:val="none" w:color="000000" w:sz="4"/>
                <w:insideH w:val="none"/>
                <w:insideV w:val="none"/>
              </w:tblBorders>
            </w:tblPr>
            <w:tblGrid>
              <w:gridCol w:w="425"/>
              <w:gridCol w:w="2128"/>
            </w:tblGrid>
            <w:tr>
              <w:tc>
                <w:tcPr>
                  <w:tcW w:type="dxa" w:w="42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w:t>
                  </w:r>
                </w:p>
              </w:tc>
              <w:tc>
                <w:tcPr>
                  <w:tcW w:type="dxa" w:w="212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具备高水平的算力服务能力，通过国内权威机构的算力服务成熟度评估，且评估等级不低于扩展级</w:t>
                  </w:r>
                </w:p>
              </w:tc>
            </w:tr>
            <w:tr>
              <w:tc>
                <w:tcPr>
                  <w:tcW w:type="dxa" w:w="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2</w:t>
                  </w:r>
                </w:p>
              </w:tc>
              <w:tc>
                <w:tcPr>
                  <w:tcW w:type="dxa" w:w="21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具备领先的智算中心运维服务能力，智算中心建设和运维能力获得过国家权威机构认可</w:t>
                  </w:r>
                </w:p>
              </w:tc>
            </w:tr>
            <w:tr>
              <w:tc>
                <w:tcPr>
                  <w:tcW w:type="dxa" w:w="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3</w:t>
                  </w:r>
                </w:p>
              </w:tc>
              <w:tc>
                <w:tcPr>
                  <w:tcW w:type="dxa" w:w="21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产品通过信通院智算工程平台检验证书，符合《智算工程平台能力要求》。</w:t>
                  </w:r>
                </w:p>
              </w:tc>
            </w:tr>
            <w:tr>
              <w:tc>
                <w:tcPr>
                  <w:tcW w:type="dxa" w:w="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4</w:t>
                  </w:r>
                </w:p>
              </w:tc>
              <w:tc>
                <w:tcPr>
                  <w:tcW w:type="dxa" w:w="21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可支持新模型的国产卡（</w:t>
                  </w:r>
                  <w:r>
                    <w:rPr>
                      <w:rFonts w:ascii="仿宋_GB2312" w:hAnsi="仿宋_GB2312" w:cs="仿宋_GB2312" w:eastAsia="仿宋_GB2312"/>
                      <w:sz w:val="28"/>
                    </w:rPr>
                    <w:t>910B）适配。</w:t>
                  </w:r>
                </w:p>
              </w:tc>
            </w:tr>
            <w:tr>
              <w:tc>
                <w:tcPr>
                  <w:tcW w:type="dxa" w:w="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5</w:t>
                  </w:r>
                </w:p>
              </w:tc>
              <w:tc>
                <w:tcPr>
                  <w:tcW w:type="dxa" w:w="21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支持通过在线交互式页面，实时体验平台预置大模型。支持配置模型服务参数，如温度、多样性、系统人设等。支持查看对话历史记录。</w:t>
                  </w:r>
                </w:p>
              </w:tc>
            </w:tr>
            <w:tr>
              <w:tc>
                <w:tcPr>
                  <w:tcW w:type="dxa" w:w="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6</w:t>
                  </w:r>
                </w:p>
              </w:tc>
              <w:tc>
                <w:tcPr>
                  <w:tcW w:type="dxa" w:w="21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支持创建服务组，对纳入服务组模型统一管理，填写服务组名称、描述等信息。支持检索服务组，查看服务组详情，删除服务组，编辑服务组等管理功能。</w:t>
                  </w:r>
                </w:p>
              </w:tc>
            </w:tr>
            <w:tr>
              <w:tc>
                <w:tcPr>
                  <w:tcW w:type="dxa" w:w="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7</w:t>
                  </w:r>
                </w:p>
              </w:tc>
              <w:tc>
                <w:tcPr>
                  <w:tcW w:type="dxa" w:w="21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代码理解与编写：提供基础的代码注释、代码解读、问题报错查询，根据上下文生成代码的能力，支持</w:t>
                  </w:r>
                  <w:r>
                    <w:rPr>
                      <w:rFonts w:ascii="仿宋_GB2312" w:hAnsi="仿宋_GB2312" w:cs="仿宋_GB2312" w:eastAsia="仿宋_GB2312"/>
                      <w:sz w:val="28"/>
                    </w:rPr>
                    <w:t>Java，Python，C++等常见编程语言。</w:t>
                  </w:r>
                </w:p>
              </w:tc>
            </w:tr>
            <w:tr>
              <w:tc>
                <w:tcPr>
                  <w:tcW w:type="dxa" w:w="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8</w:t>
                  </w:r>
                </w:p>
              </w:tc>
              <w:tc>
                <w:tcPr>
                  <w:tcW w:type="dxa" w:w="21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超长文本处理：支持对长度为</w:t>
                  </w:r>
                  <w:r>
                    <w:rPr>
                      <w:rFonts w:ascii="仿宋_GB2312" w:hAnsi="仿宋_GB2312" w:cs="仿宋_GB2312" w:eastAsia="仿宋_GB2312"/>
                      <w:sz w:val="28"/>
                    </w:rPr>
                    <w:t>120k tokens 及以上的超长文本进行处理，能快速理解复杂内容。</w:t>
                  </w:r>
                </w:p>
              </w:tc>
            </w:tr>
            <w:tr>
              <w:tc>
                <w:tcPr>
                  <w:tcW w:type="dxa" w:w="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9</w:t>
                  </w:r>
                </w:p>
              </w:tc>
              <w:tc>
                <w:tcPr>
                  <w:tcW w:type="dxa" w:w="21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8"/>
                    </w:rPr>
                    <w:t>支持后台监控模型服务。支持导出监控数据。</w:t>
                  </w:r>
                </w:p>
                <w:p>
                  <w:pPr>
                    <w:pStyle w:val="null3"/>
                    <w:jc w:val="both"/>
                  </w:pPr>
                  <w:r>
                    <w:rPr>
                      <w:rFonts w:ascii="仿宋_GB2312" w:hAnsi="仿宋_GB2312" w:cs="仿宋_GB2312" w:eastAsia="仿宋_GB2312"/>
                      <w:sz w:val="28"/>
                    </w:rPr>
                    <w:t>支持统计调用次数、调用</w:t>
                  </w:r>
                  <w:r>
                    <w:rPr>
                      <w:rFonts w:ascii="仿宋_GB2312" w:hAnsi="仿宋_GB2312" w:cs="仿宋_GB2312" w:eastAsia="仿宋_GB2312"/>
                      <w:sz w:val="28"/>
                    </w:rPr>
                    <w:t>token量、调用状态等，提供按分钟、按小时、按天查看各项数据和走势图。</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所配备人员充足，可保证本项目顺利实施。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所提供设施设备充足先进，可保证本项目顺利实施。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质量保修范围和保修期：使用全业务、合同期内。</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365日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陕西省考古研究院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全部业务开通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双方协商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承诺书.docx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承诺书.docx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独立承担民事责任能力</w:t>
            </w:r>
          </w:p>
        </w:tc>
        <w:tc>
          <w:tcPr>
            <w:tcW w:type="dxa" w:w="3322"/>
          </w:tcPr>
          <w:p>
            <w:pPr>
              <w:pStyle w:val="null3"/>
            </w:pPr>
            <w:r>
              <w:rPr>
                <w:rFonts w:ascii="仿宋_GB2312" w:hAnsi="仿宋_GB2312" w:cs="仿宋_GB2312" w:eastAsia="仿宋_GB2312"/>
              </w:rPr>
              <w:t>具有独立承担民事责任能力的法人或其他组织或经总公司授权的分公司或自然人，提供合法有效的统一社会信用代码营业执照（事业单位提供事业单位法人证书，自然人提供身份证明、分公司提供总公司授权及分公司营业执照）；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没有重大违法记录</w:t>
            </w:r>
          </w:p>
        </w:tc>
        <w:tc>
          <w:tcPr>
            <w:tcW w:type="dxa" w:w="3322"/>
          </w:tcPr>
          <w:p>
            <w:pPr>
              <w:pStyle w:val="null3"/>
            </w:pPr>
            <w:r>
              <w:rPr>
                <w:rFonts w:ascii="仿宋_GB2312" w:hAnsi="仿宋_GB2312" w:cs="仿宋_GB2312" w:eastAsia="仿宋_GB2312"/>
              </w:rPr>
              <w:t>供应商参加政府采购活动前3年内在经营活动中没有重大违法记录；供应商需在项目电子化交易系统中按要求填写《响应函》完成承诺并进行电子签章。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截止至响应文件递交截止时间之前，供应商未被“信用中国”网站列入失信被执行人、重大税收违法失信主体名单，未被“中国政府采购网”网站列入政府采购严重违法失信行为记录名单；供应商应提供承诺书并进行电子签章，格式及内容参见“响应文件格式”。</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2024-2025年度任意一年经会计事务所或审计机构出具完整的财务审计报告(包括审计报告、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社保缴纳证明：自2025年7月1日以来已缴存的至少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自2025年7月1日以来已缴纳的至少一个月的纳税证明或完税证明，纳税证明或完税证明上应有代收机构或税务机关的公章或业务专用章。依法免税的供应商应提供相关文件证明（复印件加盖供应商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负责人授权书（附法定代表人/负责人、被授权人身份证复印件）及被授权人身份证（法定代表人/负责人直接参加磋商，须提供法定代表人/负责人身份证明及身份证原件）；（供应商为非法人单位的，磋商响应文件中凡是需要法定代表人签字或盖章之处，非法人单位的负责人均参照执行；附负责人、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供应商单位负责人为同一人或者存在直接控股、管理关系的供应商，不得参加同一合同下的政府采购活动; 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其他承诺</w:t>
            </w:r>
          </w:p>
        </w:tc>
        <w:tc>
          <w:tcPr>
            <w:tcW w:type="dxa" w:w="3322"/>
          </w:tcPr>
          <w:p>
            <w:pPr>
              <w:pStyle w:val="null3"/>
            </w:pPr>
            <w:r>
              <w:rPr>
                <w:rFonts w:ascii="仿宋_GB2312" w:hAnsi="仿宋_GB2312" w:cs="仿宋_GB2312" w:eastAsia="仿宋_GB2312"/>
              </w:rPr>
              <w:t>供应商具有履行合同所必需的设备和专业技术能力；未为本项目提供整体设计、规范编制或者项目管理、监理、检测等服务。供应商需在项目电子化交易系统中按要求填写《响应函》完成承诺并进行电子签章。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联合体、分包</w:t>
            </w:r>
          </w:p>
        </w:tc>
        <w:tc>
          <w:tcPr>
            <w:tcW w:type="dxa" w:w="3322"/>
          </w:tcPr>
          <w:p>
            <w:pPr>
              <w:pStyle w:val="null3"/>
            </w:pPr>
            <w:r>
              <w:rPr>
                <w:rFonts w:ascii="仿宋_GB2312" w:hAnsi="仿宋_GB2312" w:cs="仿宋_GB2312" w:eastAsia="仿宋_GB2312"/>
              </w:rPr>
              <w:t>本项目不接受联合体响应，不允许分包。供应商提供《非联合体、不分包投标声明》，视为独立响应，不分包。供应商应提供《非联合体、不分包投标声明》并进行电子签章，格式及内容参见“响应文件格式”。</w:t>
            </w:r>
          </w:p>
        </w:tc>
        <w:tc>
          <w:tcPr>
            <w:tcW w:type="dxa" w:w="1661"/>
          </w:tcPr>
          <w:p>
            <w:pPr>
              <w:pStyle w:val="null3"/>
            </w:pPr>
            <w:r>
              <w:rPr>
                <w:rFonts w:ascii="仿宋_GB2312" w:hAnsi="仿宋_GB2312" w:cs="仿宋_GB2312" w:eastAsia="仿宋_GB2312"/>
              </w:rPr>
              <w:t>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磋商小组应当启动异常低价投标（响应）审查程序：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④磋商小组基于专业判断，认为供应商报价过低，有可能影响产品质量或者不能诚信履约的其他情形。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响应文件的签署、加盖印章要求是否合格、有效</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类似项目业绩一览表.docx 中小企业声明函 商务应答表 服务内容及服务要求应答表 承诺书.docx 报价表 响应文件封面 分项报价表.docx 供应商应提交的相关资格证明材料.docx 残疾人福利性单位声明函 标的清单 供应商拒绝政府采购领域商业贿赂承诺书.docx 服务内容及服务邀请应答表.docx 人员配备一览表.docx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响应文件有效期是否符合磋商文件要求</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报价唯一，且未超过采购预算</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与营业执照或其他组织一致</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符合磋商文件规定</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技术要求响应</w:t>
            </w:r>
          </w:p>
        </w:tc>
        <w:tc>
          <w:tcPr>
            <w:tcW w:type="dxa" w:w="2492"/>
          </w:tcPr>
          <w:p>
            <w:pPr>
              <w:pStyle w:val="null3"/>
            </w:pPr>
            <w:r>
              <w:rPr>
                <w:rFonts w:ascii="仿宋_GB2312" w:hAnsi="仿宋_GB2312" w:cs="仿宋_GB2312" w:eastAsia="仿宋_GB2312"/>
              </w:rPr>
              <w:t>技术要求完全满足磋商文件技术指标要求的得26分，每负偏离一项扣0.5分，扣完为止。 （备注：未按磋商文件要求提供相关证明资料的，视为负偏离）</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服务商针对本项目的整体服务方案，内容包含：①服务目标；②服务实施步骤计划（服务工作流程）；③服务管理规章制度；④工作重点与难点分析及对应措施。 二、赋分标准(满分12分) 每一项评审内容全面详细、阐述条理清晰得3分，满分12分，每项评审内容每存在一处缺陷，扣0.6分，3分扣完为止。 备注：本文所称“缺陷”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一、评审内容 服务商针对本项目的服务保障措施，内容包含：①质量保障措施；②安全保障措施；③进度保障措施；④服务人员保障措施。 二、赋分标准(满分8分) 每一项评审内容全面详细、阐述条理清晰得2分，满分8分，每项评审内容每存在一处缺陷，扣0.4分，2分扣完为止。 备注：本文所称“缺陷”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服务团队组织方案</w:t>
            </w:r>
          </w:p>
        </w:tc>
        <w:tc>
          <w:tcPr>
            <w:tcW w:type="dxa" w:w="2492"/>
          </w:tcPr>
          <w:p>
            <w:pPr>
              <w:pStyle w:val="null3"/>
            </w:pPr>
            <w:r>
              <w:rPr>
                <w:rFonts w:ascii="仿宋_GB2312" w:hAnsi="仿宋_GB2312" w:cs="仿宋_GB2312" w:eastAsia="仿宋_GB2312"/>
              </w:rPr>
              <w:t>一、评审内容 服务商针对本项目的服务团队组织方案，内容包含：①项目实施团队组织方案；②岗位工作职责及管理制度；③服务人员考核制度；④服务人员培训、日常教育计划。 二、赋分标准(满分 8分) 每一项评审内容全面详细、阐述条理清晰得2分，满分8分，每项评审内容每存在一处缺陷，扣0.4分，2分扣完为止。 备注：本文所称“缺陷”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 服务商针对本项目的保密方案，内容包含：①保密管理制度；②数据和信息安全保密措施；③保密承诺。 二、赋分标准(满分 6 分) 每一项评审内容全面详细、阐述条理清晰得2分，满分6分，每项评审内容每存在一处缺陷，扣0.4分，2分扣完为止。 备注：本文所称“缺陷”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服务商针对本项目的应急预案，内容包含：①应急预案方案和措施；②应急人数及人员安排。 二、赋分标准(满分 3.0 分) 每一项评审内容全面详细、阐述条理清晰得1.5分，满分3分，每项评审内容每存在一处缺陷，扣0.3分，1.5分扣完为止。 备注：本文所称“缺陷”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服务人员履约能力</w:t>
            </w:r>
          </w:p>
        </w:tc>
        <w:tc>
          <w:tcPr>
            <w:tcW w:type="dxa" w:w="2492"/>
          </w:tcPr>
          <w:p>
            <w:pPr>
              <w:pStyle w:val="null3"/>
            </w:pPr>
            <w:r>
              <w:rPr>
                <w:rFonts w:ascii="仿宋_GB2312" w:hAnsi="仿宋_GB2312" w:cs="仿宋_GB2312" w:eastAsia="仿宋_GB2312"/>
              </w:rPr>
              <w:t>1、项目经理具有信息化服务项目管理能力，提供网络技术、信息安全、IT 服务等信息化相关行业认证证书，每提供一个证书得 0.5分，最高得 1分； 2、服务人员（不含项目经理）具有信息化服务项目服务能力，提供网络技术、信息安全、IT 服务等信息化相关行业认证证书，每名服务人员提供一个证书得0.5分，最高得3分（每人最多得1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人员配备一览表.docx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服务商针对本项目的服务承诺，内容包含：①售后服务承诺；②故障响应及解决时间承诺；。 二、赋分标准(满分 3.0 分) 每一项评审内容全面详细、阐述条理清晰得1.5分，满分3分，每项评审内容每存在一处缺陷，扣0.3分，1.5分扣完为止。 备注：本文所称“缺陷”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 2023年 1 月 1 日以来独立承担过类似项目业绩，每个业绩计 4分，最高计 20分。注：类似业绩以合同签订时间为准，未提供或不清晰导致无法识别的不予以认可。</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满足竞争性磋商文件要求的有效报价中最低报价为最高得分点：报价最低计10分，其它报价所得分值按（最低报价／磋商报价）×10的公式计算。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详见附件：人员配备一览表.docx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