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版本号：SXQTKZ-DL-2026-01220260604001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临渭区向阳街道程家村小型健身中心项目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SXQTKZ-DL-2026-012</w:t>
      </w:r>
      <w:r>
        <w:br/>
      </w:r>
      <w:r>
        <w:br/>
      </w:r>
      <w:r>
        <w:br/>
      </w:r>
    </w:p>
    <w:p>
      <w:pPr>
        <w:pStyle w:val="null3"/>
        <w:jc w:val="center"/>
        <w:outlineLvl w:val="2"/>
      </w:pPr>
      <w:r>
        <w:rPr>
          <w:rFonts w:ascii="仿宋_GB2312" w:hAnsi="仿宋_GB2312" w:cs="仿宋_GB2312" w:eastAsia="仿宋_GB2312"/>
          <w:sz w:val="28"/>
          <w:b/>
        </w:rPr>
        <w:t>陕西省渭南市临渭区向阳街道办事处</w:t>
      </w:r>
    </w:p>
    <w:p>
      <w:pPr>
        <w:pStyle w:val="null3"/>
        <w:jc w:val="center"/>
        <w:outlineLvl w:val="2"/>
      </w:pPr>
      <w:r>
        <w:rPr>
          <w:rFonts w:ascii="仿宋_GB2312" w:hAnsi="仿宋_GB2312" w:cs="仿宋_GB2312" w:eastAsia="仿宋_GB2312"/>
          <w:sz w:val="28"/>
          <w:b/>
        </w:rPr>
        <w:t>陕西乾通坤展项目管理有限公司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陕西乾通坤展项目管理有限公司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陕西省渭南市临渭区向阳街道办事处</w:t>
      </w:r>
      <w:r>
        <w:rPr>
          <w:rFonts w:ascii="仿宋_GB2312" w:hAnsi="仿宋_GB2312" w:cs="仿宋_GB2312" w:eastAsia="仿宋_GB2312"/>
        </w:rPr>
        <w:t>委托，拟对</w:t>
      </w:r>
      <w:r>
        <w:rPr>
          <w:rFonts w:ascii="仿宋_GB2312" w:hAnsi="仿宋_GB2312" w:cs="仿宋_GB2312" w:eastAsia="仿宋_GB2312"/>
        </w:rPr>
        <w:t>临渭区向阳街道程家村小型健身中心项目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SXQTKZ-DL-2026-012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临渭区向阳街道程家村小型健身中心项目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临渭区向阳街道程家村小型健身中心项目，本项目主要建设内容包括项目占地面积约3040㎡，建设小型健身中心一座，建筑面积200㎡，健身广场部分设施提升改造，配套部分健身器材等。具体内容详见第三章。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采购包1（临渭区向阳街道程家村小型健身中心项目）：属于专门面向中小企业采购。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审计报告：提供2025年度的财务审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w:t>
      </w:r>
    </w:p>
    <w:p>
      <w:pPr>
        <w:pStyle w:val="null3"/>
      </w:pPr>
      <w:r>
        <w:rPr>
          <w:rFonts w:ascii="仿宋_GB2312" w:hAnsi="仿宋_GB2312" w:cs="仿宋_GB2312" w:eastAsia="仿宋_GB2312"/>
        </w:rPr>
        <w:t>3、纳税证明：提供响应文件提交截止时间前六个月内任意一个月的纳税证明或完税证明，依法免税的单位应提供相关证明材料。</w:t>
      </w:r>
    </w:p>
    <w:p>
      <w:pPr>
        <w:pStyle w:val="null3"/>
      </w:pPr>
      <w:r>
        <w:rPr>
          <w:rFonts w:ascii="仿宋_GB2312" w:hAnsi="仿宋_GB2312" w:cs="仿宋_GB2312" w:eastAsia="仿宋_GB2312"/>
        </w:rPr>
        <w:t>4、社保证明：提供响应文件提交截止时间前六个月内任意一个月的社会保障资金缴存单据或社保机构开具的社会保险参保缴费情况证明，依法不需要缴纳社会保障资金的单位应提供相关证明材料。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5、保证金凭证：磋商保证金交纳凭证或担保机构出具的保函。</w:t>
      </w:r>
    </w:p>
    <w:p>
      <w:pPr>
        <w:pStyle w:val="null3"/>
      </w:pPr>
      <w:r>
        <w:rPr>
          <w:rFonts w:ascii="仿宋_GB2312" w:hAnsi="仿宋_GB2312" w:cs="仿宋_GB2312" w:eastAsia="仿宋_GB2312"/>
        </w:rPr>
        <w:t>6、供应商资质要求：供应商具备建筑工程施工总承包三级及以上资质,同时具有有效的安全生产许可证；</w:t>
      </w:r>
    </w:p>
    <w:p>
      <w:pPr>
        <w:pStyle w:val="null3"/>
      </w:pPr>
      <w:r>
        <w:rPr>
          <w:rFonts w:ascii="仿宋_GB2312" w:hAnsi="仿宋_GB2312" w:cs="仿宋_GB2312" w:eastAsia="仿宋_GB2312"/>
        </w:rPr>
        <w:t>7、拟派项目经理资格要求：供应商拟派项目经理具备建筑工程专业注册二级（含）以上建造师资格（电子化证书与纸质证书具有同等效力），同时具有有效的安全生产考核合格证（安全考核B证），在本单位注册且无在建工程（提供承诺书）；</w:t>
      </w:r>
    </w:p>
    <w:p>
      <w:pPr>
        <w:pStyle w:val="null3"/>
      </w:pPr>
      <w:r>
        <w:rPr>
          <w:rFonts w:ascii="仿宋_GB2312" w:hAnsi="仿宋_GB2312" w:cs="仿宋_GB2312" w:eastAsia="仿宋_GB2312"/>
        </w:rPr>
        <w:t>8、法定代表人委托授权书\身份证明：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10、履行合同设备承诺：提供具有履行合同所必需的设备和专业技术能力的承诺。</w:t>
      </w:r>
    </w:p>
    <w:p>
      <w:pPr>
        <w:pStyle w:val="null3"/>
      </w:pPr>
      <w:r>
        <w:rPr>
          <w:rFonts w:ascii="仿宋_GB2312" w:hAnsi="仿宋_GB2312" w:cs="仿宋_GB2312" w:eastAsia="仿宋_GB2312"/>
        </w:rPr>
        <w:t>11、书面声明：参加政府采购活动前三年内，在经营活动中没有重大违法记录的书面声明（成立时间至提交响应文件截止时间不足三年的可提供成立至今的书面声明）。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12、信用查询：供应商不得为“信用中国(www.creditchina.gov.cn)”中列入失信被执行人和重大税收违法案件当事人名单的供应商，不得为“中国政府采购网(www.ccgp.gov.cn)”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13、信誉查询：供应商基本信息及项目经理的基本信息在“陕西省住房和城乡建设厅”（https://js.shaanxi.gov.cn/）或全国建筑市场监管公共服务平台（https://jzsc.mohurd.gov.cn/）可查询；</w:t>
      </w:r>
    </w:p>
    <w:p>
      <w:pPr>
        <w:pStyle w:val="null3"/>
      </w:pPr>
      <w:r>
        <w:rPr>
          <w:rFonts w:ascii="仿宋_GB2312" w:hAnsi="仿宋_GB2312" w:cs="仿宋_GB2312" w:eastAsia="仿宋_GB2312"/>
        </w:rPr>
        <w:t>14、中小企业声明：项目专门面向中小企业采购，须符合《政府采购促进中小企业发展管理办法》（财库〔2020〕46号）规定的中小企业参加，符合要求的监狱企业或残疾人福利单位视同小微企业，并提供声明函。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陕西省渭南市临渭区向阳街道办事处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临渭区襟湭路与华山大街交叉口西南180米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0913-2150199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陕西乾通坤展项目管理有限公司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渭南市高新区万达广场四号公寓1703室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15229136707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采购包1：1,070,606.06元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开户名称：陕西乾通坤展项目管理有限公司</w:t>
            </w:r>
          </w:p>
          <w:p>
            <w:pPr>
              <w:pStyle w:val="null3"/>
            </w:pPr>
            <w:r>
              <w:rPr>
                <w:rFonts w:ascii="仿宋_GB2312" w:hAnsi="仿宋_GB2312" w:cs="仿宋_GB2312" w:eastAsia="仿宋_GB2312"/>
              </w:rPr>
              <w:t>开户银行：中国农业银行股份有限公司渭南朝阳路支行</w:t>
            </w:r>
          </w:p>
          <w:p>
            <w:pPr>
              <w:pStyle w:val="null3"/>
            </w:pPr>
            <w:r>
              <w:rPr>
                <w:rFonts w:ascii="仿宋_GB2312" w:hAnsi="仿宋_GB2312" w:cs="仿宋_GB2312" w:eastAsia="仿宋_GB2312"/>
              </w:rPr>
              <w:t>银行账号：26562401040002982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代理服务费收费标准：按照国家计委颁布的《招标代理服务收费管理暂行办法》（计价格『2002』1980号）及发改办价格『2003』857号文规定按工程类收取代理服务费。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陕西省渭南市临渭区向阳街道办事处</w:t>
      </w:r>
      <w:r>
        <w:rPr>
          <w:rFonts w:ascii="仿宋_GB2312" w:hAnsi="仿宋_GB2312" w:cs="仿宋_GB2312" w:eastAsia="仿宋_GB2312"/>
        </w:rPr>
        <w:t>和</w:t>
      </w:r>
      <w:r>
        <w:rPr>
          <w:rFonts w:ascii="仿宋_GB2312" w:hAnsi="仿宋_GB2312" w:cs="仿宋_GB2312" w:eastAsia="仿宋_GB2312"/>
        </w:rPr>
        <w:t>陕西乾通坤展项目管理有限公司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陕西省渭南市临渭区向阳街道办事处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陕西乾通坤展项目管理有限公司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陕西省渭南市临渭区向阳街道办事处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陕西乾通坤展项目管理有限公司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陕西乾通坤展项目管理有限公司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陕西乾通坤展项目管理有限公司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陕西乾通坤展项目管理有限公司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联系人：张琼</w:t>
      </w:r>
    </w:p>
    <w:p>
      <w:pPr>
        <w:pStyle w:val="null3"/>
      </w:pPr>
      <w:r>
        <w:rPr>
          <w:rFonts w:ascii="仿宋_GB2312" w:hAnsi="仿宋_GB2312" w:cs="仿宋_GB2312" w:eastAsia="仿宋_GB2312"/>
        </w:rPr>
        <w:t>联系电话：15229136707</w:t>
      </w:r>
    </w:p>
    <w:p>
      <w:pPr>
        <w:pStyle w:val="null3"/>
      </w:pPr>
      <w:r>
        <w:rPr>
          <w:rFonts w:ascii="仿宋_GB2312" w:hAnsi="仿宋_GB2312" w:cs="仿宋_GB2312" w:eastAsia="仿宋_GB2312"/>
        </w:rPr>
        <w:t>地址：渭南市高新区万达广场四号公寓1703室</w:t>
      </w:r>
    </w:p>
    <w:p>
      <w:pPr>
        <w:pStyle w:val="null3"/>
      </w:pPr>
      <w:r>
        <w:rPr>
          <w:rFonts w:ascii="仿宋_GB2312" w:hAnsi="仿宋_GB2312" w:cs="仿宋_GB2312" w:eastAsia="仿宋_GB2312"/>
        </w:rPr>
        <w:t>邮编：714026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1,070,606.06</w:t>
      </w:r>
    </w:p>
    <w:p>
      <w:pPr>
        <w:pStyle w:val="null3"/>
      </w:pPr>
      <w:r>
        <w:rPr>
          <w:rFonts w:ascii="仿宋_GB2312" w:hAnsi="仿宋_GB2312" w:cs="仿宋_GB2312" w:eastAsia="仿宋_GB2312"/>
        </w:rPr>
        <w:t>采购包最高限价（元）: 1,070,606.06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临渭区向阳街道程家村小型健身中心项目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1,070,606.06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标的名称：临渭区向阳街道程家村小型健身中心项目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10" w:after="90"/>
              <w:jc w:val="both"/>
            </w:pPr>
            <w:r>
              <w:rPr>
                <w:rFonts w:ascii="仿宋_GB2312" w:hAnsi="仿宋_GB2312" w:cs="仿宋_GB2312" w:eastAsia="仿宋_GB2312"/>
                <w:sz w:val="24"/>
                <w:b/>
                <w:shd w:fill="FFFFFF" w:val="clear"/>
              </w:rPr>
              <w:t>一、项目概况</w:t>
            </w:r>
          </w:p>
          <w:p>
            <w:pPr>
              <w:pStyle w:val="null3"/>
              <w:spacing w:before="90" w:after="90"/>
              <w:ind w:firstLine="420"/>
              <w:jc w:val="both"/>
            </w:pPr>
            <w:r>
              <w:rPr>
                <w:rFonts w:ascii="仿宋_GB2312" w:hAnsi="仿宋_GB2312" w:cs="仿宋_GB2312" w:eastAsia="仿宋_GB2312"/>
                <w:sz w:val="24"/>
                <w:shd w:fill="FFFFFF" w:val="clear"/>
              </w:rPr>
              <w:t>临渭区向阳街道程家村小型健身中心项目</w:t>
            </w:r>
            <w:r>
              <w:rPr>
                <w:rFonts w:ascii="仿宋_GB2312" w:hAnsi="仿宋_GB2312" w:cs="仿宋_GB2312" w:eastAsia="仿宋_GB2312"/>
                <w:sz w:val="24"/>
                <w:shd w:fill="FFFFFF" w:val="clear"/>
              </w:rPr>
              <w:t>，项目位于临渭区向阳街道程家村。主要建设内容包括项目占地面积约</w:t>
            </w:r>
            <w:r>
              <w:rPr>
                <w:rFonts w:ascii="仿宋_GB2312" w:hAnsi="仿宋_GB2312" w:cs="仿宋_GB2312" w:eastAsia="仿宋_GB2312"/>
                <w:sz w:val="24"/>
                <w:shd w:fill="FFFFFF" w:val="clear"/>
              </w:rPr>
              <w:t>3040</w:t>
            </w:r>
            <w:r>
              <w:rPr>
                <w:rFonts w:ascii="仿宋_GB2312" w:hAnsi="仿宋_GB2312" w:cs="仿宋_GB2312" w:eastAsia="仿宋_GB2312"/>
                <w:sz w:val="24"/>
              </w:rPr>
              <w:t>㎡</w:t>
            </w:r>
            <w:r>
              <w:rPr>
                <w:rFonts w:ascii="仿宋_GB2312" w:hAnsi="仿宋_GB2312" w:cs="仿宋_GB2312" w:eastAsia="仿宋_GB2312"/>
                <w:sz w:val="24"/>
                <w:shd w:fill="FFFFFF" w:val="clear"/>
              </w:rPr>
              <w:t>，建设小型健身中心一座，建筑面积</w:t>
            </w:r>
            <w:r>
              <w:rPr>
                <w:rFonts w:ascii="仿宋_GB2312" w:hAnsi="仿宋_GB2312" w:cs="仿宋_GB2312" w:eastAsia="仿宋_GB2312"/>
                <w:sz w:val="24"/>
                <w:shd w:fill="FFFFFF" w:val="clear"/>
              </w:rPr>
              <w:t>200</w:t>
            </w:r>
            <w:r>
              <w:rPr>
                <w:rFonts w:ascii="仿宋_GB2312" w:hAnsi="仿宋_GB2312" w:cs="仿宋_GB2312" w:eastAsia="仿宋_GB2312"/>
                <w:sz w:val="24"/>
              </w:rPr>
              <w:t>㎡</w:t>
            </w:r>
            <w:r>
              <w:rPr>
                <w:rFonts w:ascii="仿宋_GB2312" w:hAnsi="仿宋_GB2312" w:cs="仿宋_GB2312" w:eastAsia="仿宋_GB2312"/>
                <w:sz w:val="24"/>
                <w:shd w:fill="FFFFFF" w:val="clear"/>
              </w:rPr>
              <w:t>，健身广场部分设施提升改造，配套部分健身器材等。</w:t>
            </w:r>
          </w:p>
          <w:p>
            <w:pPr>
              <w:pStyle w:val="null3"/>
              <w:spacing w:before="210" w:after="90"/>
              <w:jc w:val="both"/>
            </w:pPr>
            <w:r>
              <w:rPr>
                <w:rFonts w:ascii="仿宋_GB2312" w:hAnsi="仿宋_GB2312" w:cs="仿宋_GB2312" w:eastAsia="仿宋_GB2312"/>
                <w:sz w:val="24"/>
                <w:b/>
                <w:shd w:fill="FFFFFF" w:val="clear"/>
              </w:rPr>
              <w:t>二、工程内容和施工地点、计划工期</w:t>
            </w:r>
          </w:p>
          <w:p>
            <w:pPr>
              <w:pStyle w:val="null3"/>
              <w:spacing w:before="90" w:after="90"/>
              <w:ind w:firstLine="420"/>
              <w:jc w:val="both"/>
            </w:pPr>
            <w:r>
              <w:rPr>
                <w:rFonts w:ascii="仿宋_GB2312" w:hAnsi="仿宋_GB2312" w:cs="仿宋_GB2312" w:eastAsia="仿宋_GB2312"/>
                <w:sz w:val="24"/>
                <w:shd w:fill="FFFFFF" w:val="clear"/>
              </w:rPr>
              <w:t>（一）工程内容：</w:t>
            </w:r>
            <w:r>
              <w:rPr>
                <w:rFonts w:ascii="仿宋_GB2312" w:hAnsi="仿宋_GB2312" w:cs="仿宋_GB2312" w:eastAsia="仿宋_GB2312"/>
                <w:sz w:val="24"/>
                <w:shd w:fill="FFFFFF" w:val="clear"/>
              </w:rPr>
              <w:t>临渭区向阳街道程家村小型健身中心项目</w:t>
            </w:r>
          </w:p>
          <w:p>
            <w:pPr>
              <w:pStyle w:val="null3"/>
              <w:spacing w:before="90" w:after="90"/>
              <w:ind w:firstLine="420"/>
              <w:jc w:val="both"/>
            </w:pPr>
            <w:r>
              <w:rPr>
                <w:rFonts w:ascii="仿宋_GB2312" w:hAnsi="仿宋_GB2312" w:cs="仿宋_GB2312" w:eastAsia="仿宋_GB2312"/>
                <w:sz w:val="24"/>
                <w:shd w:fill="FFFFFF" w:val="clear"/>
              </w:rPr>
              <w:t>（二）工程地点：临渭区向阳街道程家村</w:t>
            </w:r>
            <w:r>
              <w:rPr>
                <w:rFonts w:ascii="仿宋_GB2312" w:hAnsi="仿宋_GB2312" w:cs="仿宋_GB2312" w:eastAsia="仿宋_GB2312"/>
                <w:sz w:val="24"/>
                <w:shd w:fill="FFFFFF" w:val="clear"/>
              </w:rPr>
              <w:t>。</w:t>
            </w:r>
          </w:p>
          <w:p>
            <w:pPr>
              <w:pStyle w:val="null3"/>
              <w:spacing w:before="90" w:after="90"/>
              <w:ind w:firstLine="420"/>
              <w:jc w:val="both"/>
            </w:pPr>
            <w:r>
              <w:rPr>
                <w:rFonts w:ascii="仿宋_GB2312" w:hAnsi="仿宋_GB2312" w:cs="仿宋_GB2312" w:eastAsia="仿宋_GB2312"/>
                <w:sz w:val="24"/>
                <w:shd w:fill="FFFFFF" w:val="clear"/>
              </w:rPr>
              <w:t>（三）计划工期：</w:t>
            </w:r>
            <w:r>
              <w:rPr>
                <w:rFonts w:ascii="仿宋_GB2312" w:hAnsi="仿宋_GB2312" w:cs="仿宋_GB2312" w:eastAsia="仿宋_GB2312"/>
                <w:sz w:val="24"/>
              </w:rPr>
              <w:t>自合同签订之日起</w:t>
            </w:r>
            <w:r>
              <w:rPr>
                <w:rFonts w:ascii="仿宋_GB2312" w:hAnsi="仿宋_GB2312" w:cs="仿宋_GB2312" w:eastAsia="仿宋_GB2312"/>
                <w:sz w:val="24"/>
              </w:rPr>
              <w:t>90</w:t>
            </w:r>
            <w:r>
              <w:rPr>
                <w:rFonts w:ascii="仿宋_GB2312" w:hAnsi="仿宋_GB2312" w:cs="仿宋_GB2312" w:eastAsia="仿宋_GB2312"/>
                <w:sz w:val="24"/>
              </w:rPr>
              <w:t>个日历日内竣工</w:t>
            </w:r>
            <w:r>
              <w:rPr>
                <w:rFonts w:ascii="仿宋_GB2312" w:hAnsi="仿宋_GB2312" w:cs="仿宋_GB2312" w:eastAsia="仿宋_GB2312"/>
                <w:sz w:val="24"/>
              </w:rPr>
              <w:t>。</w:t>
            </w:r>
          </w:p>
          <w:p>
            <w:pPr>
              <w:pStyle w:val="null3"/>
              <w:spacing w:before="90" w:after="90"/>
              <w:ind w:firstLine="42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四</w:t>
            </w:r>
            <w:r>
              <w:rPr>
                <w:rFonts w:ascii="仿宋_GB2312" w:hAnsi="仿宋_GB2312" w:cs="仿宋_GB2312" w:eastAsia="仿宋_GB2312"/>
                <w:sz w:val="24"/>
                <w:shd w:fill="FFFFFF" w:val="clear"/>
              </w:rPr>
              <w:t>）工程质量保修期：</w:t>
            </w:r>
            <w:r>
              <w:rPr>
                <w:rFonts w:ascii="仿宋_GB2312" w:hAnsi="仿宋_GB2312" w:cs="仿宋_GB2312" w:eastAsia="仿宋_GB2312"/>
                <w:sz w:val="24"/>
                <w:shd w:fill="FFFFFF" w:val="clear"/>
              </w:rPr>
              <w:t>2年</w:t>
            </w:r>
          </w:p>
          <w:p>
            <w:pPr>
              <w:pStyle w:val="null3"/>
              <w:spacing w:before="90" w:after="90"/>
              <w:ind w:firstLine="420"/>
              <w:jc w:val="both"/>
            </w:pPr>
            <w:r>
              <w:rPr>
                <w:rFonts w:ascii="仿宋_GB2312" w:hAnsi="仿宋_GB2312" w:cs="仿宋_GB2312" w:eastAsia="仿宋_GB2312"/>
                <w:sz w:val="24"/>
                <w:shd w:fill="FFFFFF" w:val="clear"/>
              </w:rPr>
              <w:t>（六）质量要求：</w:t>
            </w:r>
            <w:r>
              <w:rPr>
                <w:rFonts w:ascii="仿宋_GB2312" w:hAnsi="仿宋_GB2312" w:cs="仿宋_GB2312" w:eastAsia="仿宋_GB2312"/>
                <w:sz w:val="24"/>
              </w:rPr>
              <w:t>符合国家现行有关施工质量验收规范</w:t>
            </w:r>
            <w:r>
              <w:rPr>
                <w:rFonts w:ascii="仿宋_GB2312" w:hAnsi="仿宋_GB2312" w:cs="仿宋_GB2312" w:eastAsia="仿宋_GB2312"/>
                <w:sz w:val="24"/>
              </w:rPr>
              <w:t>“合格”要求。</w:t>
            </w:r>
          </w:p>
          <w:p>
            <w:pPr>
              <w:pStyle w:val="null3"/>
              <w:spacing w:before="90" w:after="90"/>
              <w:jc w:val="both"/>
            </w:pPr>
            <w:r>
              <w:rPr>
                <w:rFonts w:ascii="仿宋_GB2312" w:hAnsi="仿宋_GB2312" w:cs="仿宋_GB2312" w:eastAsia="仿宋_GB2312"/>
                <w:sz w:val="24"/>
                <w:b/>
              </w:rPr>
              <w:t>三、工程量清单和计价依据</w:t>
            </w:r>
          </w:p>
          <w:p>
            <w:pPr>
              <w:pStyle w:val="null3"/>
              <w:spacing w:before="90" w:after="90"/>
              <w:ind w:firstLine="420"/>
              <w:jc w:val="both"/>
            </w:pPr>
            <w:r>
              <w:rPr>
                <w:rFonts w:ascii="仿宋_GB2312" w:hAnsi="仿宋_GB2312" w:cs="仿宋_GB2312" w:eastAsia="仿宋_GB2312"/>
                <w:sz w:val="24"/>
                <w:b/>
              </w:rPr>
              <w:t>（一）编制依据：</w:t>
            </w:r>
          </w:p>
          <w:p>
            <w:pPr>
              <w:pStyle w:val="null3"/>
              <w:ind w:right="-60"/>
              <w:jc w:val="left"/>
            </w:pPr>
            <w:r>
              <w:rPr>
                <w:rFonts w:ascii="仿宋_GB2312" w:hAnsi="仿宋_GB2312" w:cs="仿宋_GB2312" w:eastAsia="仿宋_GB2312"/>
                <w:sz w:val="24"/>
                <w:color w:val="000000"/>
                <w:shd w:fill="FFFFFF" w:val="clear"/>
              </w:rPr>
              <w:t>1.陕西省工程建设标准《建设工程工程量清单计价标准》DB61/T 5126-2025，以及《房屋建筑与装饰工程工程量计算标准》DB61/T 5129-2025、《通用安装工程工程量计算标准》DB61/T 5130-2025、《市政工程工程量计算标准》DB61/T 5128-2025、《园林绿化工程工程量计算标准》DB61/T 5131-2025等</w:t>
            </w:r>
            <w:r>
              <w:rPr>
                <w:rFonts w:ascii="仿宋_GB2312" w:hAnsi="仿宋_GB2312" w:cs="仿宋_GB2312" w:eastAsia="仿宋_GB2312"/>
                <w:sz w:val="24"/>
                <w:color w:val="000000"/>
                <w:shd w:fill="FFFFFF" w:val="clear"/>
              </w:rPr>
              <w:t>；</w:t>
            </w:r>
          </w:p>
          <w:p>
            <w:pPr>
              <w:pStyle w:val="null3"/>
              <w:ind w:right="-60"/>
              <w:jc w:val="left"/>
            </w:pPr>
            <w:r>
              <w:rPr>
                <w:rFonts w:ascii="仿宋_GB2312" w:hAnsi="仿宋_GB2312" w:cs="仿宋_GB2312" w:eastAsia="仿宋_GB2312"/>
                <w:sz w:val="24"/>
                <w:color w:val="000000"/>
                <w:shd w:fill="FFFFFF" w:val="clear"/>
              </w:rPr>
              <w:t>2.</w:t>
            </w:r>
            <w:r>
              <w:rPr>
                <w:rFonts w:ascii="仿宋_GB2312" w:hAnsi="仿宋_GB2312" w:cs="仿宋_GB2312" w:eastAsia="仿宋_GB2312"/>
                <w:sz w:val="24"/>
                <w:color w:val="000000"/>
                <w:shd w:fill="FFFFFF" w:val="clear"/>
              </w:rPr>
              <w:t>《陕西省房屋建筑与装饰工程消耗量定额》（</w:t>
            </w:r>
            <w:r>
              <w:rPr>
                <w:rFonts w:ascii="仿宋_GB2312" w:hAnsi="仿宋_GB2312" w:cs="仿宋_GB2312" w:eastAsia="仿宋_GB2312"/>
                <w:sz w:val="24"/>
                <w:color w:val="000000"/>
                <w:shd w:fill="FFFFFF" w:val="clear"/>
              </w:rPr>
              <w:t>2025）、《陕西省通用安装工程消耗量定额》（2025）、《陕西省市政工程消耗量定额》（2025）、《陕西省园林绿化工程消耗量定额》（2025）</w:t>
            </w:r>
            <w:r>
              <w:rPr>
                <w:rFonts w:ascii="仿宋_GB2312" w:hAnsi="仿宋_GB2312" w:cs="仿宋_GB2312" w:eastAsia="仿宋_GB2312"/>
                <w:sz w:val="24"/>
                <w:color w:val="000000"/>
                <w:shd w:fill="FFFFFF" w:val="clear"/>
              </w:rPr>
              <w:t>；</w:t>
            </w:r>
          </w:p>
          <w:p>
            <w:pPr>
              <w:pStyle w:val="null3"/>
              <w:ind w:right="-60"/>
              <w:jc w:val="left"/>
            </w:pPr>
            <w:r>
              <w:rPr>
                <w:rFonts w:ascii="仿宋_GB2312" w:hAnsi="仿宋_GB2312" w:cs="仿宋_GB2312" w:eastAsia="仿宋_GB2312"/>
                <w:sz w:val="24"/>
                <w:color w:val="000000"/>
                <w:shd w:fill="FFFFFF" w:val="clear"/>
              </w:rPr>
              <w:t>3.</w:t>
            </w:r>
            <w:r>
              <w:rPr>
                <w:rFonts w:ascii="仿宋_GB2312" w:hAnsi="仿宋_GB2312" w:cs="仿宋_GB2312" w:eastAsia="仿宋_GB2312"/>
                <w:sz w:val="24"/>
                <w:color w:val="000000"/>
                <w:shd w:fill="FFFFFF" w:val="clear"/>
              </w:rPr>
              <w:t>《陕西省园林绿化工程</w:t>
            </w:r>
            <w:r>
              <w:rPr>
                <w:rFonts w:ascii="仿宋_GB2312" w:hAnsi="仿宋_GB2312" w:cs="仿宋_GB2312" w:eastAsia="仿宋_GB2312"/>
                <w:sz w:val="24"/>
                <w:color w:val="000000"/>
                <w:shd w:fill="FFFFFF" w:val="clear"/>
              </w:rPr>
              <w:t>基价</w:t>
            </w:r>
            <w:r>
              <w:rPr>
                <w:rFonts w:ascii="仿宋_GB2312" w:hAnsi="仿宋_GB2312" w:cs="仿宋_GB2312" w:eastAsia="仿宋_GB2312"/>
                <w:sz w:val="24"/>
                <w:color w:val="000000"/>
                <w:shd w:fill="FFFFFF" w:val="clear"/>
              </w:rPr>
              <w:t>表》（</w:t>
            </w:r>
            <w:r>
              <w:rPr>
                <w:rFonts w:ascii="仿宋_GB2312" w:hAnsi="仿宋_GB2312" w:cs="仿宋_GB2312" w:eastAsia="仿宋_GB2312"/>
                <w:sz w:val="24"/>
                <w:color w:val="000000"/>
                <w:shd w:fill="FFFFFF" w:val="clear"/>
              </w:rPr>
              <w:t>20</w:t>
            </w:r>
            <w:r>
              <w:rPr>
                <w:rFonts w:ascii="仿宋_GB2312" w:hAnsi="仿宋_GB2312" w:cs="仿宋_GB2312" w:eastAsia="仿宋_GB2312"/>
                <w:sz w:val="24"/>
                <w:color w:val="000000"/>
                <w:shd w:fill="FFFFFF" w:val="clear"/>
              </w:rPr>
              <w:t>25</w:t>
            </w:r>
            <w:r>
              <w:rPr>
                <w:rFonts w:ascii="仿宋_GB2312" w:hAnsi="仿宋_GB2312" w:cs="仿宋_GB2312" w:eastAsia="仿宋_GB2312"/>
                <w:sz w:val="24"/>
                <w:color w:val="000000"/>
                <w:shd w:fill="FFFFFF" w:val="clear"/>
              </w:rPr>
              <w:t>）；</w:t>
            </w:r>
          </w:p>
          <w:p>
            <w:pPr>
              <w:pStyle w:val="null3"/>
              <w:ind w:right="-60"/>
              <w:jc w:val="left"/>
            </w:pPr>
            <w:r>
              <w:rPr>
                <w:rFonts w:ascii="仿宋_GB2312" w:hAnsi="仿宋_GB2312" w:cs="仿宋_GB2312" w:eastAsia="仿宋_GB2312"/>
                <w:sz w:val="24"/>
                <w:color w:val="000000"/>
                <w:shd w:fill="FFFFFF" w:val="clear"/>
              </w:rPr>
              <w:t>4.</w:t>
            </w:r>
            <w:r>
              <w:rPr>
                <w:rFonts w:ascii="仿宋_GB2312" w:hAnsi="仿宋_GB2312" w:cs="仿宋_GB2312" w:eastAsia="仿宋_GB2312"/>
                <w:sz w:val="24"/>
                <w:color w:val="000000"/>
                <w:shd w:fill="FFFFFF" w:val="clear"/>
              </w:rPr>
              <w:t>《陕西省</w:t>
            </w:r>
            <w:r>
              <w:rPr>
                <w:rFonts w:ascii="仿宋_GB2312" w:hAnsi="仿宋_GB2312" w:cs="仿宋_GB2312" w:eastAsia="仿宋_GB2312"/>
                <w:sz w:val="24"/>
                <w:color w:val="000000"/>
                <w:shd w:fill="FFFFFF" w:val="clear"/>
              </w:rPr>
              <w:t>房屋建筑与装饰、</w:t>
            </w:r>
            <w:r>
              <w:rPr>
                <w:rFonts w:ascii="仿宋_GB2312" w:hAnsi="仿宋_GB2312" w:cs="仿宋_GB2312" w:eastAsia="仿宋_GB2312"/>
                <w:sz w:val="24"/>
                <w:color w:val="000000"/>
                <w:shd w:fill="FFFFFF" w:val="clear"/>
              </w:rPr>
              <w:t>市政、</w:t>
            </w:r>
            <w:r>
              <w:rPr>
                <w:rFonts w:ascii="仿宋_GB2312" w:hAnsi="仿宋_GB2312" w:cs="仿宋_GB2312" w:eastAsia="仿宋_GB2312"/>
                <w:sz w:val="24"/>
                <w:color w:val="000000"/>
                <w:shd w:fill="FFFFFF" w:val="clear"/>
              </w:rPr>
              <w:t>通用</w:t>
            </w:r>
            <w:r>
              <w:rPr>
                <w:rFonts w:ascii="仿宋_GB2312" w:hAnsi="仿宋_GB2312" w:cs="仿宋_GB2312" w:eastAsia="仿宋_GB2312"/>
                <w:sz w:val="24"/>
                <w:color w:val="000000"/>
                <w:shd w:fill="FFFFFF" w:val="clear"/>
              </w:rPr>
              <w:t>安装工程</w:t>
            </w:r>
            <w:r>
              <w:rPr>
                <w:rFonts w:ascii="仿宋_GB2312" w:hAnsi="仿宋_GB2312" w:cs="仿宋_GB2312" w:eastAsia="仿宋_GB2312"/>
                <w:sz w:val="24"/>
                <w:color w:val="000000"/>
                <w:shd w:fill="FFFFFF" w:val="clear"/>
              </w:rPr>
              <w:t>基价</w:t>
            </w:r>
            <w:r>
              <w:rPr>
                <w:rFonts w:ascii="仿宋_GB2312" w:hAnsi="仿宋_GB2312" w:cs="仿宋_GB2312" w:eastAsia="仿宋_GB2312"/>
                <w:sz w:val="24"/>
                <w:color w:val="000000"/>
                <w:shd w:fill="FFFFFF" w:val="clear"/>
              </w:rPr>
              <w:t>表》（</w:t>
            </w:r>
            <w:r>
              <w:rPr>
                <w:rFonts w:ascii="仿宋_GB2312" w:hAnsi="仿宋_GB2312" w:cs="仿宋_GB2312" w:eastAsia="仿宋_GB2312"/>
                <w:sz w:val="24"/>
                <w:color w:val="000000"/>
                <w:shd w:fill="FFFFFF" w:val="clear"/>
              </w:rPr>
              <w:t>20</w:t>
            </w:r>
            <w:r>
              <w:rPr>
                <w:rFonts w:ascii="仿宋_GB2312" w:hAnsi="仿宋_GB2312" w:cs="仿宋_GB2312" w:eastAsia="仿宋_GB2312"/>
                <w:sz w:val="24"/>
                <w:color w:val="000000"/>
                <w:shd w:fill="FFFFFF" w:val="clear"/>
              </w:rPr>
              <w:t>25</w:t>
            </w:r>
            <w:r>
              <w:rPr>
                <w:rFonts w:ascii="仿宋_GB2312" w:hAnsi="仿宋_GB2312" w:cs="仿宋_GB2312" w:eastAsia="仿宋_GB2312"/>
                <w:sz w:val="24"/>
                <w:color w:val="000000"/>
                <w:shd w:fill="FFFFFF" w:val="clear"/>
              </w:rPr>
              <w:t>）；</w:t>
            </w:r>
          </w:p>
          <w:p>
            <w:pPr>
              <w:pStyle w:val="null3"/>
              <w:ind w:right="-60"/>
              <w:jc w:val="left"/>
            </w:pPr>
            <w:r>
              <w:rPr>
                <w:rFonts w:ascii="仿宋_GB2312" w:hAnsi="仿宋_GB2312" w:cs="仿宋_GB2312" w:eastAsia="仿宋_GB2312"/>
                <w:sz w:val="24"/>
                <w:color w:val="000000"/>
                <w:shd w:fill="FFFFFF" w:val="clear"/>
              </w:rPr>
              <w:t>5.</w:t>
            </w:r>
            <w:r>
              <w:rPr>
                <w:rFonts w:ascii="仿宋_GB2312" w:hAnsi="仿宋_GB2312" w:cs="仿宋_GB2312" w:eastAsia="仿宋_GB2312"/>
                <w:sz w:val="24"/>
                <w:color w:val="000000"/>
                <w:shd w:fill="FFFFFF" w:val="clear"/>
              </w:rPr>
              <w:t>《陕西省建设工程</w:t>
            </w:r>
            <w:r>
              <w:rPr>
                <w:rFonts w:ascii="仿宋_GB2312" w:hAnsi="仿宋_GB2312" w:cs="仿宋_GB2312" w:eastAsia="仿宋_GB2312"/>
                <w:sz w:val="24"/>
                <w:color w:val="000000"/>
                <w:shd w:fill="FFFFFF" w:val="clear"/>
              </w:rPr>
              <w:t>费用规则</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20</w:t>
            </w:r>
            <w:r>
              <w:rPr>
                <w:rFonts w:ascii="仿宋_GB2312" w:hAnsi="仿宋_GB2312" w:cs="仿宋_GB2312" w:eastAsia="仿宋_GB2312"/>
                <w:sz w:val="24"/>
                <w:color w:val="000000"/>
                <w:shd w:fill="FFFFFF" w:val="clear"/>
              </w:rPr>
              <w:t>25</w:t>
            </w:r>
            <w:r>
              <w:rPr>
                <w:rFonts w:ascii="仿宋_GB2312" w:hAnsi="仿宋_GB2312" w:cs="仿宋_GB2312" w:eastAsia="仿宋_GB2312"/>
                <w:sz w:val="24"/>
                <w:color w:val="000000"/>
                <w:shd w:fill="FFFFFF" w:val="clear"/>
              </w:rPr>
              <w:t>）；</w:t>
            </w:r>
          </w:p>
          <w:p>
            <w:pPr>
              <w:pStyle w:val="null3"/>
              <w:ind w:right="-60"/>
              <w:jc w:val="left"/>
            </w:pPr>
            <w:r>
              <w:rPr>
                <w:rFonts w:ascii="仿宋_GB2312" w:hAnsi="仿宋_GB2312" w:cs="仿宋_GB2312" w:eastAsia="仿宋_GB2312"/>
                <w:sz w:val="24"/>
                <w:color w:val="000000"/>
                <w:shd w:fill="FFFFFF" w:val="clear"/>
              </w:rPr>
              <w:t>6.</w:t>
            </w:r>
            <w:r>
              <w:rPr>
                <w:rFonts w:ascii="仿宋_GB2312" w:hAnsi="仿宋_GB2312" w:cs="仿宋_GB2312" w:eastAsia="仿宋_GB2312"/>
                <w:sz w:val="24"/>
                <w:color w:val="000000"/>
                <w:shd w:fill="FFFFFF" w:val="clear"/>
              </w:rPr>
              <w:t>陕西省建设工程施工机械台班费用定额（</w:t>
            </w:r>
            <w:r>
              <w:rPr>
                <w:rFonts w:ascii="仿宋_GB2312" w:hAnsi="仿宋_GB2312" w:cs="仿宋_GB2312" w:eastAsia="仿宋_GB2312"/>
                <w:sz w:val="24"/>
                <w:color w:val="000000"/>
                <w:shd w:fill="FFFFFF" w:val="clear"/>
              </w:rPr>
              <w:t>2025）</w:t>
            </w:r>
            <w:r>
              <w:rPr>
                <w:rFonts w:ascii="仿宋_GB2312" w:hAnsi="仿宋_GB2312" w:cs="仿宋_GB2312" w:eastAsia="仿宋_GB2312"/>
                <w:sz w:val="24"/>
                <w:color w:val="000000"/>
                <w:shd w:fill="FFFFFF" w:val="clear"/>
              </w:rPr>
              <w:t>；</w:t>
            </w:r>
          </w:p>
          <w:p>
            <w:pPr>
              <w:pStyle w:val="null3"/>
              <w:ind w:right="-60"/>
              <w:jc w:val="left"/>
            </w:pPr>
            <w:r>
              <w:rPr>
                <w:rFonts w:ascii="仿宋_GB2312" w:hAnsi="仿宋_GB2312" w:cs="仿宋_GB2312" w:eastAsia="仿宋_GB2312"/>
                <w:sz w:val="24"/>
                <w:color w:val="000000"/>
                <w:shd w:fill="FFFFFF" w:val="clear"/>
              </w:rPr>
              <w:t>7.</w:t>
            </w:r>
            <w:r>
              <w:rPr>
                <w:rFonts w:ascii="仿宋_GB2312" w:hAnsi="仿宋_GB2312" w:cs="仿宋_GB2312" w:eastAsia="仿宋_GB2312"/>
                <w:sz w:val="24"/>
                <w:color w:val="000000"/>
                <w:shd w:fill="FFFFFF" w:val="clear"/>
              </w:rPr>
              <w:t>陕西省建设工程施工仪器仪表台班费用定额（</w:t>
            </w:r>
            <w:r>
              <w:rPr>
                <w:rFonts w:ascii="仿宋_GB2312" w:hAnsi="仿宋_GB2312" w:cs="仿宋_GB2312" w:eastAsia="仿宋_GB2312"/>
                <w:sz w:val="24"/>
                <w:color w:val="000000"/>
                <w:shd w:fill="FFFFFF" w:val="clear"/>
              </w:rPr>
              <w:t>2025）</w:t>
            </w:r>
            <w:r>
              <w:rPr>
                <w:rFonts w:ascii="仿宋_GB2312" w:hAnsi="仿宋_GB2312" w:cs="仿宋_GB2312" w:eastAsia="仿宋_GB2312"/>
                <w:sz w:val="24"/>
                <w:color w:val="000000"/>
                <w:shd w:fill="FFFFFF" w:val="clear"/>
              </w:rPr>
              <w:t>；</w:t>
            </w:r>
          </w:p>
          <w:p>
            <w:pPr>
              <w:pStyle w:val="null3"/>
              <w:ind w:right="-60"/>
              <w:jc w:val="left"/>
            </w:pPr>
            <w:r>
              <w:rPr>
                <w:rFonts w:ascii="仿宋_GB2312" w:hAnsi="仿宋_GB2312" w:cs="仿宋_GB2312" w:eastAsia="仿宋_GB2312"/>
                <w:sz w:val="24"/>
                <w:color w:val="000000"/>
                <w:shd w:fill="FFFFFF" w:val="clear"/>
              </w:rPr>
              <w:t>8.临渭区向阳街道程家村小型健身中心项目</w:t>
            </w:r>
            <w:r>
              <w:rPr>
                <w:rFonts w:ascii="仿宋_GB2312" w:hAnsi="仿宋_GB2312" w:cs="仿宋_GB2312" w:eastAsia="仿宋_GB2312"/>
                <w:sz w:val="24"/>
                <w:color w:val="000000"/>
                <w:shd w:fill="FFFFFF" w:val="clear"/>
              </w:rPr>
              <w:t>施工图；</w:t>
            </w:r>
          </w:p>
          <w:p>
            <w:pPr>
              <w:pStyle w:val="null3"/>
              <w:ind w:right="-60"/>
              <w:jc w:val="left"/>
            </w:pPr>
            <w:r>
              <w:rPr>
                <w:rFonts w:ascii="仿宋_GB2312" w:hAnsi="仿宋_GB2312" w:cs="仿宋_GB2312" w:eastAsia="仿宋_GB2312"/>
                <w:sz w:val="24"/>
                <w:color w:val="000000"/>
                <w:shd w:fill="FFFFFF" w:val="clear"/>
              </w:rPr>
              <w:t>9.</w:t>
            </w:r>
            <w:r>
              <w:rPr>
                <w:rFonts w:ascii="仿宋_GB2312" w:hAnsi="仿宋_GB2312" w:cs="仿宋_GB2312" w:eastAsia="仿宋_GB2312"/>
                <w:sz w:val="24"/>
                <w:color w:val="000000"/>
                <w:shd w:fill="FFFFFF" w:val="clear"/>
              </w:rPr>
              <w:t>图纸设计说明、相关的标准图集、技术标准、施工及验收规范；</w:t>
            </w:r>
          </w:p>
          <w:p>
            <w:pPr>
              <w:pStyle w:val="null3"/>
              <w:ind w:right="-60"/>
              <w:jc w:val="left"/>
            </w:pPr>
            <w:r>
              <w:rPr>
                <w:rFonts w:ascii="仿宋_GB2312" w:hAnsi="仿宋_GB2312" w:cs="仿宋_GB2312" w:eastAsia="仿宋_GB2312"/>
                <w:sz w:val="24"/>
                <w:color w:val="000000"/>
                <w:shd w:fill="FFFFFF" w:val="clear"/>
              </w:rPr>
              <w:t>10.</w:t>
            </w:r>
            <w:r>
              <w:rPr>
                <w:rFonts w:ascii="仿宋_GB2312" w:hAnsi="仿宋_GB2312" w:cs="仿宋_GB2312" w:eastAsia="仿宋_GB2312"/>
                <w:sz w:val="24"/>
                <w:color w:val="000000"/>
                <w:shd w:fill="FFFFFF" w:val="clear"/>
              </w:rPr>
              <w:t>设计答疑等资料</w:t>
            </w:r>
            <w:r>
              <w:rPr>
                <w:rFonts w:ascii="仿宋_GB2312" w:hAnsi="仿宋_GB2312" w:cs="仿宋_GB2312" w:eastAsia="仿宋_GB2312"/>
                <w:sz w:val="24"/>
                <w:color w:val="000000"/>
                <w:shd w:fill="FFFFFF" w:val="clear"/>
              </w:rPr>
              <w:t>。</w:t>
            </w:r>
          </w:p>
          <w:p>
            <w:pPr>
              <w:pStyle w:val="null3"/>
              <w:ind w:right="-60" w:firstLine="241"/>
              <w:jc w:val="left"/>
            </w:pPr>
            <w:r>
              <w:rPr>
                <w:rFonts w:ascii="仿宋_GB2312" w:hAnsi="仿宋_GB2312" w:cs="仿宋_GB2312" w:eastAsia="仿宋_GB2312"/>
                <w:sz w:val="24"/>
                <w:b/>
                <w:color w:val="000000"/>
              </w:rPr>
              <w:t>（二）其它说明</w:t>
            </w:r>
          </w:p>
          <w:p>
            <w:pPr>
              <w:pStyle w:val="null3"/>
              <w:ind w:right="-60"/>
              <w:jc w:val="left"/>
            </w:pPr>
            <w:r>
              <w:rPr>
                <w:rFonts w:ascii="仿宋_GB2312" w:hAnsi="仿宋_GB2312" w:cs="仿宋_GB2312" w:eastAsia="仿宋_GB2312"/>
                <w:sz w:val="24"/>
                <w:color w:val="000000"/>
                <w:shd w:fill="FFFFFF" w:val="clear"/>
              </w:rPr>
              <w:t>1.本项目专业工程暂估价8万元(游乐设施、健身器材)，列于健身广场-土建工程其他项目费中；</w:t>
            </w:r>
          </w:p>
          <w:p>
            <w:pPr>
              <w:pStyle w:val="null3"/>
              <w:ind w:right="-60"/>
              <w:jc w:val="left"/>
            </w:pPr>
            <w:r>
              <w:rPr>
                <w:rFonts w:ascii="仿宋_GB2312" w:hAnsi="仿宋_GB2312" w:cs="仿宋_GB2312" w:eastAsia="仿宋_GB2312"/>
                <w:sz w:val="24"/>
                <w:color w:val="000000"/>
                <w:shd w:fill="FFFFFF" w:val="clear"/>
              </w:rPr>
              <w:t>2.本项目暂列金额7万元，列于健身广场-土建工程其他项目费中；</w:t>
            </w:r>
          </w:p>
          <w:p>
            <w:pPr>
              <w:pStyle w:val="null3"/>
              <w:ind w:right="-60"/>
              <w:jc w:val="left"/>
            </w:pPr>
            <w:r>
              <w:rPr>
                <w:rFonts w:ascii="仿宋_GB2312" w:hAnsi="仿宋_GB2312" w:cs="仿宋_GB2312" w:eastAsia="仿宋_GB2312"/>
                <w:sz w:val="24"/>
                <w:color w:val="000000"/>
                <w:shd w:fill="FFFFFF" w:val="clear"/>
              </w:rPr>
              <w:t>3.本项目垃圾外运按15km考虑；</w:t>
            </w:r>
          </w:p>
          <w:p>
            <w:pPr>
              <w:pStyle w:val="null3"/>
              <w:ind w:right="-60"/>
              <w:jc w:val="left"/>
            </w:pPr>
            <w:r>
              <w:rPr>
                <w:rFonts w:ascii="仿宋_GB2312" w:hAnsi="仿宋_GB2312" w:cs="仿宋_GB2312" w:eastAsia="仿宋_GB2312"/>
                <w:sz w:val="24"/>
                <w:color w:val="000000"/>
                <w:shd w:fill="FFFFFF" w:val="clear"/>
              </w:rPr>
              <w:t>4.编制软件采用广联达云计价平台GCCP7.0，版本：7.5000.23.3；</w:t>
            </w:r>
          </w:p>
          <w:p>
            <w:pPr>
              <w:pStyle w:val="null3"/>
              <w:ind w:right="-60"/>
              <w:jc w:val="left"/>
            </w:pPr>
            <w:r>
              <w:rPr>
                <w:rFonts w:ascii="仿宋_GB2312" w:hAnsi="仿宋_GB2312" w:cs="仿宋_GB2312" w:eastAsia="仿宋_GB2312"/>
                <w:sz w:val="24"/>
                <w:color w:val="000000"/>
                <w:shd w:fill="FFFFFF" w:val="clear"/>
              </w:rPr>
              <w:t>5.未尽事宜以工程量清单及施工图纸为准。</w:t>
            </w:r>
          </w:p>
          <w:p>
            <w:pPr>
              <w:pStyle w:val="null3"/>
              <w:spacing w:before="210" w:after="90"/>
              <w:jc w:val="both"/>
            </w:pPr>
            <w:r>
              <w:rPr>
                <w:rFonts w:ascii="仿宋_GB2312" w:hAnsi="仿宋_GB2312" w:cs="仿宋_GB2312" w:eastAsia="仿宋_GB2312"/>
                <w:sz w:val="24"/>
                <w:b/>
                <w:shd w:fill="FFFFFF" w:val="clear"/>
              </w:rPr>
              <w:t>四</w:t>
            </w:r>
            <w:r>
              <w:rPr>
                <w:rFonts w:ascii="仿宋_GB2312" w:hAnsi="仿宋_GB2312" w:cs="仿宋_GB2312" w:eastAsia="仿宋_GB2312"/>
                <w:sz w:val="24"/>
                <w:b/>
                <w:shd w:fill="FFFFFF" w:val="clear"/>
              </w:rPr>
              <w:t>、施工要求</w:t>
            </w:r>
          </w:p>
          <w:p>
            <w:pPr>
              <w:pStyle w:val="null3"/>
              <w:numPr>
                <w:ilvl w:val="0"/>
                <w:numId w:val="1"/>
              </w:numPr>
              <w:spacing w:before="90" w:after="90"/>
              <w:jc w:val="both"/>
            </w:pPr>
            <w:r>
              <w:rPr>
                <w:rFonts w:ascii="仿宋_GB2312" w:hAnsi="仿宋_GB2312" w:cs="仿宋_GB2312" w:eastAsia="仿宋_GB2312"/>
                <w:sz w:val="24"/>
                <w:shd w:fill="FFFFFF" w:val="clear"/>
              </w:rPr>
              <w:t>安全方面施工人员要具备相应资质，遵守安全制度，如好安全帽等基本防护装备。</w:t>
            </w:r>
          </w:p>
          <w:p>
            <w:pPr>
              <w:pStyle w:val="null3"/>
              <w:spacing w:before="90" w:after="90"/>
              <w:ind w:firstLine="480"/>
              <w:jc w:val="both"/>
            </w:pPr>
            <w:r>
              <w:rPr>
                <w:rFonts w:ascii="仿宋_GB2312" w:hAnsi="仿宋_GB2312" w:cs="仿宋_GB2312" w:eastAsia="仿宋_GB2312"/>
                <w:sz w:val="24"/>
                <w:shd w:fill="FFFFFF" w:val="clear"/>
              </w:rPr>
              <w:t>在施工现场周围设置明显的警示标志，像</w:t>
            </w:r>
            <w:r>
              <w:rPr>
                <w:rFonts w:ascii="仿宋_GB2312" w:hAnsi="仿宋_GB2312" w:cs="仿宋_GB2312" w:eastAsia="仿宋_GB2312"/>
                <w:sz w:val="24"/>
                <w:shd w:fill="FFFFFF" w:val="clear"/>
              </w:rPr>
              <w:t>“正在施工，请勿靠近”的牌子，</w:t>
            </w:r>
            <w:r>
              <w:rPr>
                <w:rFonts w:ascii="仿宋_GB2312" w:hAnsi="仿宋_GB2312" w:cs="仿宋_GB2312" w:eastAsia="仿宋_GB2312"/>
                <w:sz w:val="24"/>
                <w:shd w:fill="FFFFFF" w:val="clear"/>
              </w:rPr>
              <w:t>群众</w:t>
            </w:r>
            <w:r>
              <w:rPr>
                <w:rFonts w:ascii="仿宋_GB2312" w:hAnsi="仿宋_GB2312" w:cs="仿宋_GB2312" w:eastAsia="仿宋_GB2312"/>
                <w:sz w:val="24"/>
                <w:shd w:fill="FFFFFF" w:val="clear"/>
              </w:rPr>
              <w:t>意外闯入。</w:t>
            </w:r>
          </w:p>
          <w:p>
            <w:pPr>
              <w:pStyle w:val="null3"/>
              <w:spacing w:before="90" w:after="90"/>
              <w:ind w:firstLine="420"/>
              <w:jc w:val="both"/>
            </w:pPr>
            <w:r>
              <w:rPr>
                <w:rFonts w:ascii="仿宋_GB2312" w:hAnsi="仿宋_GB2312" w:cs="仿宋_GB2312" w:eastAsia="仿宋_GB2312"/>
                <w:sz w:val="24"/>
                <w:shd w:fill="FFFFFF" w:val="clear"/>
              </w:rPr>
              <w:t>对于有高空作业的情况，要确保脚手架等设备安装牢固。</w:t>
            </w:r>
          </w:p>
          <w:p>
            <w:pPr>
              <w:pStyle w:val="null3"/>
              <w:spacing w:before="90" w:after="90"/>
              <w:ind w:firstLine="420"/>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)环境保护</w:t>
            </w:r>
          </w:p>
          <w:p>
            <w:pPr>
              <w:pStyle w:val="null3"/>
              <w:spacing w:before="90" w:after="90"/>
              <w:ind w:firstLine="420"/>
              <w:jc w:val="both"/>
            </w:pPr>
            <w:r>
              <w:rPr>
                <w:rFonts w:ascii="仿宋_GB2312" w:hAnsi="仿宋_GB2312" w:cs="仿宋_GB2312" w:eastAsia="仿宋_GB2312"/>
                <w:sz w:val="24"/>
                <w:shd w:fill="FFFFFF" w:val="clear"/>
              </w:rPr>
              <w:t>控制粉尘和建筑垃圾，像切割瓷砖等容易产生粉尘的工序，要采取洒水降尘措施。</w:t>
            </w:r>
          </w:p>
          <w:p>
            <w:pPr>
              <w:pStyle w:val="null3"/>
              <w:spacing w:before="90" w:after="90"/>
              <w:ind w:firstLine="420"/>
              <w:jc w:val="both"/>
            </w:pPr>
            <w:r>
              <w:rPr>
                <w:rFonts w:ascii="仿宋_GB2312" w:hAnsi="仿宋_GB2312" w:cs="仿宋_GB2312" w:eastAsia="仿宋_GB2312"/>
                <w:sz w:val="24"/>
                <w:shd w:fill="FFFFFF" w:val="clear"/>
              </w:rPr>
              <w:t>建筑垃圾要及时清理并运走，不能随意堆放，避免影响校园环境。</w:t>
            </w:r>
          </w:p>
          <w:p>
            <w:pPr>
              <w:pStyle w:val="null3"/>
              <w:spacing w:before="90" w:after="90"/>
              <w:ind w:firstLine="420"/>
            </w:pPr>
            <w:r>
              <w:rPr>
                <w:rFonts w:ascii="仿宋_GB2312" w:hAnsi="仿宋_GB2312" w:cs="仿宋_GB2312" w:eastAsia="仿宋_GB2312"/>
                <w:sz w:val="24"/>
                <w:b/>
                <w:shd w:fill="FFFFFF" w:val="clear"/>
              </w:rPr>
              <w:t>五、商务要求</w:t>
            </w:r>
          </w:p>
          <w:p>
            <w:pPr>
              <w:pStyle w:val="null3"/>
            </w:pPr>
            <w:r>
              <w:rPr>
                <w:rFonts w:ascii="仿宋_GB2312" w:hAnsi="仿宋_GB2312" w:cs="仿宋_GB2312" w:eastAsia="仿宋_GB2312"/>
                <w:sz w:val="24"/>
                <w:color w:val="000000"/>
                <w:shd w:fill="FFFFFF" w:val="clear"/>
              </w:rPr>
              <w:t>根据项目完成进度支付。合同签订后采购人支付合同总价款（含税）的</w:t>
            </w:r>
            <w:r>
              <w:rPr>
                <w:rFonts w:ascii="仿宋_GB2312" w:hAnsi="仿宋_GB2312" w:cs="仿宋_GB2312" w:eastAsia="仿宋_GB2312"/>
                <w:sz w:val="24"/>
                <w:color w:val="000000"/>
                <w:shd w:fill="FFFFFF" w:val="clear"/>
              </w:rPr>
              <w:t>50%；项目实施完成并通过采购人验收，采购人支付合同总价款（含税）的50%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1.根据项目完成进度支付。合同签订后采购人支付合同总价款（含税）的50%；项目实施完成并通过采购人验收，采购人支付合同总价款（含税）的50%。 2.工程量清单详见附件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2025年度的财务审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提供响应文件提交截止时间前六个月内任意一个月的纳税证明或完税证明，依法免税的单位应提供相关证明材料。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提供响应文件提交截止时间前六个月内任意一个月的社会保障资金缴存单据或社保机构开具的社会保险参保缴费情况证明，依法不需要缴纳社会保障资金的单位应提供相关证明材料。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保证金凭证</w:t>
            </w:r>
          </w:p>
        </w:tc>
        <w:tc>
          <w:tcPr>
            <w:tcW w:type="dxa" w:w="3322"/>
          </w:tcPr>
          <w:p>
            <w:pPr>
              <w:pStyle w:val="null3"/>
            </w:pPr>
            <w:r>
              <w:rPr>
                <w:rFonts w:ascii="仿宋_GB2312" w:hAnsi="仿宋_GB2312" w:cs="仿宋_GB2312" w:eastAsia="仿宋_GB2312"/>
              </w:rPr>
              <w:t>磋商保证金交纳凭证或担保机构出具的保函。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供应商具备建筑工程施工总承包三级及以上资质,同时具有有效的安全生产许可证；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供应商拟派项目经理具备建筑工程专业注册二级（含）以上建造师资格（电子化证书与纸质证书具有同等效力），同时具有有效的安全生产考核合格证（安全考核B证），在本单位注册且无在建工程（提供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履行合同设备承诺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信誉查询</w:t>
            </w:r>
          </w:p>
        </w:tc>
        <w:tc>
          <w:tcPr>
            <w:tcW w:type="dxa" w:w="3322"/>
          </w:tcPr>
          <w:p>
            <w:pPr>
              <w:pStyle w:val="null3"/>
            </w:pPr>
            <w:r>
              <w:rPr>
                <w:rFonts w:ascii="仿宋_GB2312" w:hAnsi="仿宋_GB2312" w:cs="仿宋_GB2312" w:eastAsia="仿宋_GB2312"/>
              </w:rPr>
              <w:t>供应商基本信息及项目经理的基本信息在“陕西省住房和城乡建设厅”（https://js.shaanxi.gov.cn/）或全国建筑市场监管公共服务平台（https://jzsc.mohurd.gov.cn/）可查询；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项目专门面向中小企业采购，须符合《政府采购促进中小企业发展管理办法》（财库〔2020〕46号）规定的中小企业参加，符合要求的监狱企业或残疾人福利单位视同小微企业，并提供声明函。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首次报价.docx 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响应文件上法定代表人或其委托代理人的签名齐全并加盖单位章</w:t>
            </w:r>
          </w:p>
        </w:tc>
        <w:tc>
          <w:tcPr>
            <w:tcW w:type="dxa" w:w="1661"/>
          </w:tcPr>
          <w:p>
            <w:pPr>
              <w:pStyle w:val="null3"/>
            </w:pPr>
            <w:r>
              <w:rPr>
                <w:rFonts w:ascii="仿宋_GB2312" w:hAnsi="仿宋_GB2312" w:cs="仿宋_GB2312" w:eastAsia="仿宋_GB2312"/>
              </w:rPr>
              <w:t>中小企业声明函 资格证明文件.docx 强制优先采购产品承诺函 响应文件封面 首次报价.docx 磋商响应单位承诺书.docx 残疾人福利性单位声明函 报价函 标的清单 供应商类似项目业绩一览表 项目经理简历表.docx 响应函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首次报价.docx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1）不同供应商的响应文件由同一单位或者个人编制；（2）不同供应商委托同一单位或者个人办理磋商事宜；（3）不同供应商的响应文件载明的项目管理成员或者联系人员为同一人；（4）不同供应商的响应文件异常一致或者响应报价呈规律性差异；（5）不同供应商的响应文件相互混装。</w:t>
            </w:r>
          </w:p>
        </w:tc>
        <w:tc>
          <w:tcPr>
            <w:tcW w:type="dxa" w:w="1661"/>
          </w:tcPr>
          <w:p>
            <w:pPr>
              <w:pStyle w:val="null3"/>
            </w:pPr>
            <w:r>
              <w:rPr>
                <w:rFonts w:ascii="仿宋_GB2312" w:hAnsi="仿宋_GB2312" w:cs="仿宋_GB2312" w:eastAsia="仿宋_GB2312"/>
              </w:rPr>
              <w:t>已标价工程量清单 中小企业声明函 资格证明文件.docx 强制优先采购产品承诺函 响应文件封面 首次报价.docx 磋商响应单位承诺书.docx 技术响应方案.docx 残疾人福利性单位声明函 报价函 标的清单 项目管理机构组成表.docx 供应商类似项目业绩一览表 项目经理简历表.docx 响应函 主要人员简历表 监狱企业的证明文件 技术、服务、合同条款及其他商务要求应答表.docx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首次报价.docx 已标价工程量清单 磋商响应单位承诺书.docx 中小企业声明函 报价函 标的清单 项目经理简历表.docx 响应函 资格证明文件.docx 强制优先采购产品承诺函 技术、服务、合同条款及其他商务要求应答表.docx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首次报价.docx 报价函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技术响应方案.docx 响应函 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保修期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技术响应方案.docx 技术、服务、合同条款及其他商务要求应答表.docx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应符合磋商文件实质性要求的规定</w:t>
            </w:r>
          </w:p>
        </w:tc>
        <w:tc>
          <w:tcPr>
            <w:tcW w:type="dxa" w:w="1661"/>
          </w:tcPr>
          <w:p>
            <w:pPr>
              <w:pStyle w:val="null3"/>
            </w:pPr>
            <w:r>
              <w:rPr>
                <w:rFonts w:ascii="仿宋_GB2312" w:hAnsi="仿宋_GB2312" w:cs="仿宋_GB2312" w:eastAsia="仿宋_GB2312"/>
              </w:rPr>
              <w:t>磋商响应单位承诺书.docx 报价函 响应函 资格证明文件.docx 技术、服务、合同条款及其他商务要求应答表.docx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①施工目标:成本目标、工期目标、质量目标 ②施工准备：技术准备、材料准备、机械准备、机具准备 ③施工平面布置与安排：现场围挡及收入口管理、消防及道路安排。 方案各部分内容全面详细、阐述条理清晰详尽、完全符合本项目采购需求得8分； 方案各部分内容较详细、阐述较清晰详尽、符合本项目采购需求得6分； 方案各部分基本符合本项目采购需求得4分； 方案各部分一般符合本项目采购需求得2分；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制定详细的施工方案、方法与技术措施， 符合行业规范及行业标准。 方案各部分内容全面详细、阐述条理清晰详尽、完全符合本项目采购需求得8分； 方案各部分内容较详细、阐述较清晰详尽、符合本项目采购需求得6分； 方案各部分基本符合本项目采购需求得4分； 方案各部分一般符合本项目采购需求得2分；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根据供应商提供的材料与设备质量控制、施工技术准备、施工过程质量监控、技术创新与工艺优化措施等，由磋商小组进行综合评审。 措施全面、合理、规范，可操作性强得6分； 措施比较合理和规范，有较强的可操作性得5分； 措施相对合理和规范，有相对较强的可操作性得4分； 措施基本合理，有一定的可操作性得3分； 措施不太合理，可操作性不强得2； 措施有缺漏，可操作性差得1分；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根据供应商提供的安全防护设施规范设置、机械设备安全管理、责任体系与管理制度措施等，由磋商小组进行综合评审。 措施全面、合理、规范，可操作性强得6分； 措施比较合理和规范，有较强的可操作性得5分； 措施相对合理和规范，有相对较强的可操作性得4分； 措施基本合理，有一定的可操作性得3分； 措施不太合理，可操作性不强得2分； 措施有缺漏，可操作性差得1分；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根据供应商提供的工期目标规划、施工总进度计划、进度计划实施工具方案等，由磋商小组进行综合评审。 方案全面、合理、规范，可操作性强得6分； 方案比较合理和规范，有较强的可操作性得5分； 方案相对合理和规范，有相对较强的可操作性得4分； 方案基本合理，有一定的可操作性得3分； 方案不太合理，可操作性不强得2分； 方案有缺漏，可操作性差得1分；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根据供应商提供的管理体系构建、场容场貌标准化、扬尘污染控制、噪声与振动管控措施等，由磋商小组进行综合评审。 措施全面、合理、规范，可操作性强得6分； 措施比较合理和规范，有较强的可操作性得5分； 措施相对合理和规范，有相对较强的可操作性得4分； 措施基本合理，有一定的可操作性得3分； 措施不太合理，可操作性不强得2分； 措施有缺漏，可操作性差得1分；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根据供应商提供的项目人员情况进行评审如项目经理、技术负责人、施工员、资料员等人员配备方案由磋商小组进行综合评审。 方案全面、合理、规范，可操作性强得6分； 方案相对合理和规范，有相对较强的可操作性得4分； 方案基本合理，有一定的可操作性得3分； 方案不太合理，可操作性不强得2分； 方案有缺漏，可操作性差得1分；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项目管理机构组成表.docx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项目经理简历表.docx</w:t>
            </w:r>
          </w:p>
        </w:tc>
      </w:tr>
      <w:tr>
        <w:tc>
          <w:tcPr>
            <w:tcW w:type="dxa" w:w="831"/>
            <w:vMerge/>
          </w:tcPr>
          <w:p/>
        </w:tc>
        <w:tc>
          <w:tcPr>
            <w:tcW w:type="dxa" w:w="1661"/>
          </w:tcPr>
          <w:p>
            <w:pPr>
              <w:pStyle w:val="null3"/>
            </w:pPr>
            <w:r>
              <w:rPr>
                <w:rFonts w:ascii="仿宋_GB2312" w:hAnsi="仿宋_GB2312" w:cs="仿宋_GB2312" w:eastAsia="仿宋_GB2312"/>
              </w:rPr>
              <w:t>主要机具、设备和劳动力配备方案</w:t>
            </w:r>
          </w:p>
        </w:tc>
        <w:tc>
          <w:tcPr>
            <w:tcW w:type="dxa" w:w="2492"/>
          </w:tcPr>
          <w:p>
            <w:pPr>
              <w:pStyle w:val="null3"/>
            </w:pPr>
            <w:r>
              <w:rPr>
                <w:rFonts w:ascii="仿宋_GB2312" w:hAnsi="仿宋_GB2312" w:cs="仿宋_GB2312" w:eastAsia="仿宋_GB2312"/>
              </w:rPr>
              <w:t>根据供应商提供的主要机械设备配备、劳动力配置、联动保障机制方案等，由磋商小组进行综合评审。 方案全面、合理、规范，可操作性强得6分； 方案相对合理和规范，有相对较强的可操作性得4分； 方案基本合理，有一定的可操作性得3分； 方案不太合理，可操作性不强得2分； 方案有缺漏，可操作性差得1分；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施工重难点分析</w:t>
            </w:r>
          </w:p>
        </w:tc>
        <w:tc>
          <w:tcPr>
            <w:tcW w:type="dxa" w:w="2492"/>
          </w:tcPr>
          <w:p>
            <w:pPr>
              <w:pStyle w:val="null3"/>
            </w:pPr>
            <w:r>
              <w:rPr>
                <w:rFonts w:ascii="仿宋_GB2312" w:hAnsi="仿宋_GB2312" w:cs="仿宋_GB2312" w:eastAsia="仿宋_GB2312"/>
              </w:rPr>
              <w:t>根据供应商提供的施工重难点分析方案等，由磋商小组进行综合评审。 方案全面、合理、规范，可操作性强得5分； 方案相对合理和规范，有相对较强的可操作性得4分； 方案基本合理，有一定的可操作性得3分； 方案不太合理，可操作性不强得2分； 方案有缺漏，可操作性差得1分；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根据供应商提供的质量提升技术、工期缩短技术、成本降低技术、联动增效机制方案等，由磋商小组进行综合评审。 方案全面、合理、规范，可操作性强得5分； 方案相对合理和规范，有相对较强的可操作性得4分； 方案基本合理，有一定的可操作性得3分； 方案不太合理，可操作性不强得2分； 方案有缺漏，可操作性差得1分；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根据供应商针对突发事件应急保障措施及迎检方案的可行性（包含恶劣天气影响、自然灾害等特殊情况制定应急处置方案等） 方案全面、合理、规范，可操作性强得5分； 方案相对合理和规范，有相对较强的可操作性得4分； 方案基本合理，有一定的可操作性得3分； 方案不太合理，可操作性不强得2分； 方案有缺漏，可操作性差得1分；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提供2023年01月01日以来类似项目业绩合同（以合同签订时间为准），每份计1分，满分3分。 （注：以上证明文件在响应文件中附业绩合同扫描件并加盖公司公章。）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首次报价.docx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1.经初审合格的磋商响应文件，其磋商报价为有效磋商报价价，对其行价格评审 2.满足磋商文件实质性要求且最终报价最低的供应商的价格为磋商基准价，其价格分为满分30分。 3.磋商报价得分=（磋商基准价/最终磋商报价）×30的公式计算得分。 4.磋商报价不完整的，不进入评标标准价的计算，本项得0分。 5.经磋商小组一致认定，供应商的磋商最终总报价低于公认市场成本，或超过采购预算,其响应将被拒绝。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首次报价.docx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详见附件：首次报价.docx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详见附件：磋商响应单位承诺书.docx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