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版本号：SCIT-ZC-SX202605000520260520001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改善办学基本条件项目-长安校区体育馆中央空调电力增容改造工程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SCIT-ZC-SX2026050005</w:t>
      </w:r>
      <w:r>
        <w:br/>
      </w:r>
      <w:r>
        <w:br/>
      </w:r>
      <w:r>
        <w:br/>
      </w:r>
    </w:p>
    <w:p>
      <w:pPr>
        <w:pStyle w:val="null3"/>
        <w:jc w:val="center"/>
        <w:outlineLvl w:val="2"/>
      </w:pPr>
      <w:r>
        <w:rPr>
          <w:rFonts w:ascii="仿宋_GB2312" w:hAnsi="仿宋_GB2312" w:cs="仿宋_GB2312" w:eastAsia="仿宋_GB2312"/>
          <w:sz w:val="28"/>
          <w:b/>
        </w:rPr>
        <w:t>陕西学前师范学院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陕西学前师范学院</w:t>
      </w:r>
      <w:r>
        <w:rPr>
          <w:rFonts w:ascii="仿宋_GB2312" w:hAnsi="仿宋_GB2312" w:cs="仿宋_GB2312" w:eastAsia="仿宋_GB2312"/>
        </w:rPr>
        <w:t>委托，拟对</w:t>
      </w:r>
      <w:r>
        <w:rPr>
          <w:rFonts w:ascii="仿宋_GB2312" w:hAnsi="仿宋_GB2312" w:cs="仿宋_GB2312" w:eastAsia="仿宋_GB2312"/>
        </w:rPr>
        <w:t>改善办学基本条件项目-长安校区体育馆中央空调电力增容改造工程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SCIT-ZC-SX2026050005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改善办学基本条件项目-长安校区体育馆中央空调电力增容改造工程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本项目1个包，用于长安校区体育馆中央空调电力增容改造工程，具体详见磋商文件。 资金性质：财政资金；项目用途：长安校区体育馆中央空调电力增容改造工程。 采购预算：1245409.20元。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拟派项目经理需具备机电工程专业注册建造师二级（含二级）及以上执业资格，并具有有效的安全生产考核合格证（B证），且未担任其他在建工程（提供承诺书）；：拟派项目经理需具备机电工程专业注册建造师二级（含二级）及以上执业资格，并具有有效的安全生产考核合格证（B证），且未担任其他在建工程（提供承诺书）；供应商需在项目电子化交易系统中按要求上传相应证明文件并进行电子签章；</w:t>
      </w:r>
    </w:p>
    <w:p>
      <w:pPr>
        <w:pStyle w:val="null3"/>
      </w:pPr>
      <w:r>
        <w:rPr>
          <w:rFonts w:ascii="仿宋_GB2312" w:hAnsi="仿宋_GB2312" w:cs="仿宋_GB2312" w:eastAsia="仿宋_GB2312"/>
        </w:rPr>
        <w:t>2、法定代表人授权书及被授权人身份证明（法定代表人直接参与磋商只须提交其身份证明）：法定代表人授权书及被授权人身份证明（法定代表人直接参与磋商只须提交其身份证明）；按采购文件规定格式提供授权书及法定代表人、被授权人身份证明； 供应商需在项目电子化交易系统中按要求进行电子签章。</w:t>
      </w:r>
    </w:p>
    <w:p>
      <w:pPr>
        <w:pStyle w:val="null3"/>
      </w:pPr>
      <w:r>
        <w:rPr>
          <w:rFonts w:ascii="仿宋_GB2312" w:hAnsi="仿宋_GB2312" w:cs="仿宋_GB2312" w:eastAsia="仿宋_GB2312"/>
        </w:rPr>
        <w:t>3、供应商未被列入失信被执行人、重大税收违法案件当事人名单、政府采购严重违法失信行为记录：供应商未被列入失信被执行人、重大税收违法案件当事人名单、政府采购严重违法失信行为记录；采购人或采购代理机构将于本项目磋商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pPr>
      <w:r>
        <w:rPr>
          <w:rFonts w:ascii="仿宋_GB2312" w:hAnsi="仿宋_GB2312" w:cs="仿宋_GB2312" w:eastAsia="仿宋_GB2312"/>
        </w:rPr>
        <w:t>4、供应商须具备建设行政主管部门颁发合法有效的电力工程施工总承包三级（含三级）及以上资质或输变电工程专业承包三级（含三级）及以上资质，并同时具有国家电力监管委员会颁发的《承装(修、试)电力设施许可证》三级（含三级）及以上资质，并具备有效的安全生产许可证。：供应商须具备建设行政主管部门颁发合法有效的电力工程施工总承包三级及以上资质或输变电工程专业承包三级及以上资质，并同时具有国家电力监管委员会颁发的《承装(修、试)电力设施许可证》三级及以上资质，并具备有效的安全生产许可证。供应商需在项目电子化交易系统中按要求上传相应证明文件并进行电子签章。</w:t>
      </w:r>
    </w:p>
    <w:p>
      <w:pPr>
        <w:pStyle w:val="null3"/>
      </w:pPr>
      <w:r>
        <w:rPr>
          <w:rFonts w:ascii="仿宋_GB2312" w:hAnsi="仿宋_GB2312" w:cs="仿宋_GB2312" w:eastAsia="仿宋_GB2312"/>
        </w:rPr>
        <w:t>5、省外企业须为“陕西省建筑市场监管与诚信信息一体化平台”备案企业；：省外企业须为“陕西省建筑市场监管与诚信信息一体化平台”备案企业；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陕西学前师范学院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长安区神禾二路陕西学前师范学院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陕西学前师范学院经办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029-81530065、技术负责人 张老师 15029010119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郝丽鹏、刘江媚、谭逸哲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029-88854271转8010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采购包1：1,245,409.20元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开户名称：四川国际招标有限责任公司陕西分公司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银行账号：9902001851759074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说明：1.本采购包履约保证金为合同金额的3.0% ； 2.履约保证金缴纳时间：中标/成交后七日内需要缴纳履约保证金。未在规定时间内缴纳履约保证金视为拒签合同，自动放弃中标/成交资格。 3.履约保证金缴纳形式：采用银行对公转账、电汇或者金融机构、担保机构出具的保函等非现金的形式对公形式缴纳。 4.履约保证金的退还：项目验收合格后，履约保证金自动转为质量保证金，质量保证期结束后30个日历日内，无质量问题且不存在争议，一次性无息退还至中标/成交人账户。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作为计算基数,50万以下定额6000元；50万以上以成交金额作为计算基数,参照国家计委计价[2002]1980号及发改办价格[2003]857号通知规定标准的85%计取支付，由成交人在领取成交通知书前向招标代理机构交纳招标服务费。招标代理服务费支付方式：银行转账或现金方式. 开户名称：四川国际招标有限责任公司陕西分公司 开户银行：中国民生银行股份有限公司西安高新开发区支行 银行账号：9902001851759074</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踏勘时间：2026-05-28 10:00:00</w:t>
            </w:r>
          </w:p>
          <w:p>
            <w:pPr>
              <w:pStyle w:val="null3"/>
              <w:ind w:firstLine="975"/>
            </w:pPr>
            <w:r>
              <w:rPr>
                <w:rFonts w:ascii="仿宋_GB2312" w:hAnsi="仿宋_GB2312" w:cs="仿宋_GB2312" w:eastAsia="仿宋_GB2312"/>
              </w:rPr>
              <w:t>踏勘地点：陕西学前师范学院长安校区南门</w:t>
            </w:r>
          </w:p>
          <w:p>
            <w:pPr>
              <w:pStyle w:val="null3"/>
              <w:ind w:firstLine="975"/>
            </w:pPr>
            <w:r>
              <w:rPr>
                <w:rFonts w:ascii="仿宋_GB2312" w:hAnsi="仿宋_GB2312" w:cs="仿宋_GB2312" w:eastAsia="仿宋_GB2312"/>
              </w:rPr>
              <w:t>联系人：郝丽鹏</w:t>
            </w:r>
          </w:p>
          <w:p>
            <w:pPr>
              <w:pStyle w:val="null3"/>
              <w:ind w:firstLine="975"/>
            </w:pPr>
            <w:r>
              <w:rPr>
                <w:rFonts w:ascii="仿宋_GB2312" w:hAnsi="仿宋_GB2312" w:cs="仿宋_GB2312" w:eastAsia="仿宋_GB2312"/>
              </w:rPr>
              <w:t>联系电话号码：15114825756</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陕西学前师范学院</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陕西学前师范学院</w:t>
      </w:r>
      <w:r>
        <w:rPr>
          <w:rFonts w:ascii="仿宋_GB2312" w:hAnsi="仿宋_GB2312" w:cs="仿宋_GB2312" w:eastAsia="仿宋_GB2312"/>
        </w:rPr>
        <w:t>负责解释。除上述磋商文件内容，其他内容由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陕西学前师范学院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见磋商文件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 郝丽鹏、刘江媚</w:t>
      </w:r>
    </w:p>
    <w:p>
      <w:pPr>
        <w:pStyle w:val="null3"/>
      </w:pPr>
      <w:r>
        <w:rPr>
          <w:rFonts w:ascii="仿宋_GB2312" w:hAnsi="仿宋_GB2312" w:cs="仿宋_GB2312" w:eastAsia="仿宋_GB2312"/>
        </w:rPr>
        <w:t>联系电话：029-88854271转8010</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1,245,409.20</w:t>
      </w:r>
    </w:p>
    <w:p>
      <w:pPr>
        <w:pStyle w:val="null3"/>
      </w:pPr>
      <w:r>
        <w:rPr>
          <w:rFonts w:ascii="仿宋_GB2312" w:hAnsi="仿宋_GB2312" w:cs="仿宋_GB2312" w:eastAsia="仿宋_GB2312"/>
        </w:rPr>
        <w:t>采购包最高限价（元）: 1,245,409.20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长安校区体育馆中央空调电力增容改造工程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1,245,409.20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标的名称：长安校区体育馆中央空调电力增容改造工程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1、体育馆配电室增加一台630kVA变压器，新增10KV电源进线柜1台、10KV电源出线柜1台、低压进线柜1台、低压电容补偿柜1台、低压出线柜2台；</w:t>
            </w:r>
          </w:p>
          <w:p>
            <w:pPr>
              <w:pStyle w:val="null3"/>
            </w:pPr>
            <w:r>
              <w:rPr>
                <w:rFonts w:ascii="仿宋_GB2312" w:hAnsi="仿宋_GB2312" w:cs="仿宋_GB2312" w:eastAsia="仿宋_GB2312"/>
              </w:rPr>
              <w:t>2、从</w:t>
            </w:r>
            <w:r>
              <w:rPr>
                <w:rFonts w:ascii="仿宋_GB2312" w:hAnsi="仿宋_GB2312" w:cs="仿宋_GB2312" w:eastAsia="仿宋_GB2312"/>
              </w:rPr>
              <w:t>产教大楼负一层新建配电室引入高压</w:t>
            </w:r>
            <w:r>
              <w:rPr>
                <w:rFonts w:ascii="仿宋_GB2312" w:hAnsi="仿宋_GB2312" w:cs="仿宋_GB2312" w:eastAsia="仿宋_GB2312"/>
              </w:rPr>
              <w:t>电缆一趟，电缆型号规格为</w:t>
            </w:r>
            <w:r>
              <w:rPr>
                <w:rFonts w:ascii="仿宋_GB2312" w:hAnsi="仿宋_GB2312" w:cs="仿宋_GB2312" w:eastAsia="仿宋_GB2312"/>
              </w:rPr>
              <w:t>ZC-YJV22-8.7/15KV-3*70，长度579.13米，采用定向钻顶管敷设；</w:t>
            </w:r>
          </w:p>
          <w:p>
            <w:pPr>
              <w:pStyle w:val="null3"/>
            </w:pPr>
            <w:r>
              <w:rPr>
                <w:rFonts w:ascii="仿宋_GB2312" w:hAnsi="仿宋_GB2312" w:cs="仿宋_GB2312" w:eastAsia="仿宋_GB2312"/>
              </w:rPr>
              <w:t>3、对体育馆配电室新旧设备进行连接、调试等，确保与原系统连接后正常使用；</w:t>
            </w:r>
          </w:p>
          <w:p>
            <w:pPr>
              <w:pStyle w:val="null3"/>
            </w:pPr>
            <w:r>
              <w:rPr>
                <w:rFonts w:ascii="仿宋_GB2312" w:hAnsi="仿宋_GB2312" w:cs="仿宋_GB2312" w:eastAsia="仿宋_GB2312"/>
              </w:rPr>
              <w:t>4、采购空调机组配电柜至体育馆一层配电室之间的电缆142米电缆，电缆型号规格为WDZ-YJY-3*240+2*120；</w:t>
            </w:r>
          </w:p>
          <w:p>
            <w:pPr>
              <w:pStyle w:val="null3"/>
            </w:pPr>
            <w:r>
              <w:rPr>
                <w:rFonts w:ascii="仿宋_GB2312" w:hAnsi="仿宋_GB2312" w:cs="仿宋_GB2312" w:eastAsia="仿宋_GB2312"/>
              </w:rPr>
              <w:t>5、该项目为交钥匙工程，供应商须协助采购人办理电力增容相关审批手续，调试完成并通过供电公司的验收，协助采购人送电投运完成，并承担相关费用。</w:t>
            </w:r>
          </w:p>
          <w:p>
            <w:pPr>
              <w:pStyle w:val="null3"/>
            </w:pPr>
            <w:r>
              <w:rPr>
                <w:rFonts w:ascii="仿宋_GB2312" w:hAnsi="仿宋_GB2312" w:cs="仿宋_GB2312" w:eastAsia="仿宋_GB2312"/>
                <w:sz w:val="21"/>
              </w:rPr>
              <w:t>6、施工完成后对施工中开挖的路面、人行道、绿化等原状恢复，并清理外运施工垃圾等。其他要求具体</w:t>
            </w:r>
            <w:r>
              <w:rPr>
                <w:rFonts w:ascii="仿宋_GB2312" w:hAnsi="仿宋_GB2312" w:cs="仿宋_GB2312" w:eastAsia="仿宋_GB2312"/>
                <w:sz w:val="21"/>
              </w:rPr>
              <w:t>详见工程量清单</w:t>
            </w:r>
            <w:r>
              <w:rPr>
                <w:rFonts w:ascii="仿宋_GB2312" w:hAnsi="仿宋_GB2312" w:cs="仿宋_GB2312" w:eastAsia="仿宋_GB2312"/>
                <w:sz w:val="21"/>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满足国家和行业现行技术规范，符合国家及行业验收合格标准，质量要求均为合格。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符合国家及行业相关标准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 完工时间：合同签订后 20个日历日内竣工并交付验收； 3.3.2 验收 ： 3.3.2.1 采购人组织安排验收，成交供应商提供工程量清单以及图纸配合验收工作。 3.3.2.2验收标准： （一）成交人提供的设备要求：自出厂日期起 3年内的全新设备。 （二）货物到达采购人指定地点后，采购人根据合同要求，进行外观验收，确认规格、型号和数量。双方须在约定的时间和地点共同开箱检验。 （三）货物安装、调试并正常运行后，由成交供应商进行自检，自检合格后能够正常使用时通知采购人。采购人确认成交供应商的自检内容后，由采购人组织，严格按照政府采购相关法律法规和《财政部关于进一步加强政府采购需求和履约验收管理的指导意见》(财库〔2016〕205 号)，行业标准及政府采购合同规定的技术、服务、安全标准进行验收。 （四）验收合格后，填写验收单作为对货物的最终认可。 （五）成交供应商向采购人提交货物实施过程中的所有资料，以便采购人日后管理和维护。（六）若合同设备外箱包装受损、包装箱件数不符、设备有质量或技术问题，成交供应商应按照采购人要求，采取补足、更换或退货处理措施，并承担由此发生的一切损失和费用。 3.3.3付款方式（因系统固化原因，付款方式以此为准）： 3.3.3.1 款项结算：在付款前，必须开具全额增值税专用发票交付采购人。 3.3.3.2 付款方式：合同签订后甲方向乙方支付合同金额40%；工程竣工验收合格并正式供电后，支付合同金额40%；结算审计完成后甲方向乙方支付至结算审计金额的100%； 3.3.4 履约保证金：本采购包履约保证金为合同金额的3.0% 3.3.4.1履约保证金缴纳时间：中标/成交后七日内需要缴纳履约保证金。未在规定时间内缴纳履约保证金视为拒签合同，自动放弃中标/成交资格。 3.3.4.2履约保证金缴纳形式：采用银行对公转账、电汇或者金融机构、担保机构出具的保函等非现金的形式对公形式缴纳。 3.3.4.3履约保证金的退还：项目验收合格后，履约保证金自动转为质量保证金，质量保证期结束后30个日历日内，无质量问题且不存在争议，一次性无息退还至中标/成交人账户。 3.3.5质量保证期：验收合格后3 年，工程整体质量保修期按照各个部分工程的国家标准执行，质保期内年检及维保费用由供应商承担，自验收合格之日起计算，若供应商承诺多于质保要求的，则按其承诺，保修期内须提供24小时内的紧急维修服务。 3.3.6施工要求： （一）安全生产、文明施工（安装）与环境保护要求: （二）在项目安装、调试实施期间为确保安装作业区域及周围环境的整洁和不影响其他活动正常进行，成交供应商应严格执行国家有关安全文明施工（安装）管理的法律、法规和政策，积极主动加强和落实安全文明施工（安装）及环境保护等有关管理工作，并按规定承担相应的费用。成交供应商若违反规定野蛮施工、违章作业等原因造成的一切损失和责任由成交供应商承担。 （三）成交供应商在项目供货、安装实施期间，必须遵守国家各项有关安全作业规章、规范与制度，安全用电等制度，确保杜绝各类事故的发生。 （四）成交供应商现场设备安装负责人应具有特种作业操作证，安装人员必须持证上岗。中标单位应对设备安装、调试期间自身和第三方安全与财产负责。 （五）成交供应商在组织项目实施时必须按安装施工计划协调好现场施工（安装）工作，在项目验收合格移交前对到场货物承担保管责任，如有损坏由成交供应商负责赔偿。成交供应商在项目实施期间必须保护好施工区域内的环境和原有建筑、装饰与设施，保证环境和原有建筑、装饰与设施完好。 （六）各供应商在响应文件中要结合本项目的特点和采购人上述的具体要求制定相应的安全文明施工（安装）和安全生产管理措施，同时应当考虑购买自己员工和第三方责任保险，并将此费用纳入报价中，工程建设过程中所发生的安全事故、人身财产损害或对第三方造成的财产均由成交供应商承担。 注：1.商务要求和其他要求不允许负偏离。 2.（1）供应商需要在线提交所有通过电子化交易平台实施的政府采购项目的响应文件。同时，编辑目录和页码，线下提交纸质响应文件正本壹份、副本贰份、电子版壹份（U盘壹份）；（2）纸质响应文件正本、副本、电子版，标明供应商名称分开密封递交（文件采用双面打印）；（3）线下纸质文件递交截止时间：同在线递交电子响应文件截止时间一致；线下纸质文件递交地点：西安市高新区唐延路35号旺座现代城G座2301室。如需邮寄响应文件，仅接受顺丰速运（联系人：郝丽鹏 联系电话：029-88854271转8010）。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 2.具备良好商业信誉的证明材料（按照磋商文件格式提供承诺函）； 3.具备健全的财务会计制度的证明材料。｛注：①可提供2025或2024年度经审计的财务报告复印件（包含审计报告和审计报告中所涉及的财务报表和报表附注），②也可提供截至响应文件递交截止日一年内银行出具的资信证明（复印件），③供应商注册时间截至响应文件递交截止日不足一年的，也可提供加盖工商备案主管部门印章的公司章程复印件，④也可提供政府采购信用担保机构出具的《政府采购投标担保函》｝； 4.具有依法缴纳税收和社会保障资金的良好记录（①社会保障资金缴纳证明：提供2025年5月1日至今已缴存的任一月份的社会保障资金缴存单据或社保机构开具的社会保险参保缴费情况证明，依法不需要缴纳社会保障资金的供应商应提供相关文件证明； ）；②提供2025年5月1日至今已缴纳的至少一个月的纳税证明或完税证明，依法免税的单位应提供相关证明材料；）； 5.具备履行合同所必需的设备和专业技术能力的证明材料（按照磋商文件格式提供承诺函）； 6.参加政府采购活动前3年内在经营活动中没有重大违法记录的承诺函（按照磋商文件格式提供承诺函）； 7.具备法律、行政法规规定的其他条件的证明材料（按照磋商文件格式提供承诺函）；供应商需在项目电子化交易系统中按要求填写《响应函》完成承诺并进行电子签章。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2025或2024年度经审计的财务报告复印件（包含审计报告和审计报告中所涉及的财务报表和报表附注），②也可提供截至响应文件递交截止日一年内银行出具的资信证明（复印件），③供应商注册时间截至响应文件递交截止日不足一年的，也可提供加盖工商备案主管部门印章的公司章程复印件，④也可提供政府采购信用担保机构出具的《政府采购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拟派项目经理需具备机电工程专业注册建造师二级（含二级）及以上执业资格，并具有有效的安全生产考核合格证（B证），且未担任其他在建工程（提供承诺书）；</w:t>
            </w:r>
          </w:p>
        </w:tc>
        <w:tc>
          <w:tcPr>
            <w:tcW w:type="dxa" w:w="3322"/>
          </w:tcPr>
          <w:p>
            <w:pPr>
              <w:pStyle w:val="null3"/>
            </w:pPr>
            <w:r>
              <w:rPr>
                <w:rFonts w:ascii="仿宋_GB2312" w:hAnsi="仿宋_GB2312" w:cs="仿宋_GB2312" w:eastAsia="仿宋_GB2312"/>
              </w:rPr>
              <w:t>拟派项目经理需具备机电工程专业注册建造师二级（含二级）及以上执业资格，并具有有效的安全生产考核合格证（B证），且未担任其他在建工程（提供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法定代表人授权书及被授权人身份证明（法定代表人直接参与磋商只须提交其身份证明）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法定代表人授权书及被授权人身份证明（法定代表人直接参与磋商只须提交其身份证明）；按采购文件规定格式提供授权书及法定代表人、被授权人身份证明； 供应商需在项目电子化交易系统中按要求进行电子签章。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供应商未被列入失信被执行人、重大税收违法案件当事人名单、政府采购严重违法失信行为记录；采购人或采购代理机构将于本项目磋商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须具备建设行政主管部门颁发合法有效的电力工程施工总承包三级（含三级）及以上资质或输变电工程专业承包三级（含三级）及以上资质，并同时具有国家电力监管委员会颁发的《承装(修、试)电力设施许可证》三级（含三级）及以上资质，并具备有效的安全生产许可证。</w:t>
            </w:r>
          </w:p>
        </w:tc>
        <w:tc>
          <w:tcPr>
            <w:tcW w:type="dxa" w:w="3322"/>
          </w:tcPr>
          <w:p>
            <w:pPr>
              <w:pStyle w:val="null3"/>
            </w:pPr>
            <w:r>
              <w:rPr>
                <w:rFonts w:ascii="仿宋_GB2312" w:hAnsi="仿宋_GB2312" w:cs="仿宋_GB2312" w:eastAsia="仿宋_GB2312"/>
              </w:rPr>
              <w:t>供应商须具备建设行政主管部门颁发合法有效的电力工程施工总承包三级及以上资质或输变电工程专业承包三级及以上资质，并同时具有国家电力监管委员会颁发的《承装(修、试)电力设施许可证》三级及以上资质，并具备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省外企业须为“陕西省建筑市场监管与诚信信息一体化平台”备案企业；</w:t>
            </w:r>
          </w:p>
        </w:tc>
        <w:tc>
          <w:tcPr>
            <w:tcW w:type="dxa" w:w="3322"/>
          </w:tcPr>
          <w:p>
            <w:pPr>
              <w:pStyle w:val="null3"/>
            </w:pPr>
            <w:r>
              <w:rPr>
                <w:rFonts w:ascii="仿宋_GB2312" w:hAnsi="仿宋_GB2312" w:cs="仿宋_GB2312" w:eastAsia="仿宋_GB2312"/>
              </w:rPr>
              <w:t>省外企业须为“陕西省建筑市场监管与诚信信息一体化平台”备案企业；供应商需在项目电子化交易系统中按要求上传相应证明文件并进行电子签章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技术服务合同条款及其他商务要求应答表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（1）响应文件组成明显不符合采购文件的规定要求，影响磋商小组评判的； （2）响应文件的语言、计量单位、知识产权、响应有效期等不符合采购文件的规定，影响磋商小组评判的；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（4）属于竞争性磋商文件中无效响应情形的；（5）未按规定缴纳磋商保证金的；（6）未标价的工程量清单。</w:t>
            </w:r>
          </w:p>
        </w:tc>
        <w:tc>
          <w:tcPr>
            <w:tcW w:type="dxa" w:w="3322"/>
          </w:tcPr>
          <w:p>
            <w:pPr>
              <w:pStyle w:val="null3"/>
            </w:pPr>
            <w:r>
              <w:rPr>
                <w:rFonts w:ascii="仿宋_GB2312" w:hAnsi="仿宋_GB2312" w:cs="仿宋_GB2312" w:eastAsia="仿宋_GB2312"/>
              </w:rPr>
              <w:t>（1）响应文件组成明显不符合采购文件的规定要求，影响磋商小组评判的； （2）响应文件的语言、计量单位、知识产权、响应有效期等不符合采购文件的规定，影响磋商小组评判的；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（4）属于竞争性磋商文件中无效响应情形的；（5）未按规定缴纳磋商保证金的；（6）未标价的工程量清单。</w:t>
            </w:r>
          </w:p>
        </w:tc>
        <w:tc>
          <w:tcPr>
            <w:tcW w:type="dxa" w:w="1661"/>
          </w:tcPr>
          <w:p>
            <w:pPr>
              <w:pStyle w:val="null3"/>
            </w:pPr>
            <w:r>
              <w:rPr>
                <w:rFonts w:ascii="仿宋_GB2312" w:hAnsi="仿宋_GB2312" w:cs="仿宋_GB2312" w:eastAsia="仿宋_GB2312"/>
              </w:rPr>
              <w:t>响应文件封面 响应文件其他格式.docx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根据供应商提供的本项目施工方案①施工工艺②施工方法③技术措施进行综合打分，完全响应得9分 ；方案中每有一项内容缺失扣3分，方案内容要素中每存在一处缺陷扣0.5分，该分项分值扣完为止。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机械配置方案</w:t>
            </w:r>
          </w:p>
        </w:tc>
        <w:tc>
          <w:tcPr>
            <w:tcW w:type="dxa" w:w="2492"/>
          </w:tcPr>
          <w:p>
            <w:pPr>
              <w:pStyle w:val="null3"/>
            </w:pPr>
            <w:r>
              <w:rPr>
                <w:rFonts w:ascii="仿宋_GB2312" w:hAnsi="仿宋_GB2312" w:cs="仿宋_GB2312" w:eastAsia="仿宋_GB2312"/>
              </w:rPr>
              <w:t>根据供应商提供的 机械配置方案①施工所需机械设备清单②投入设备配备情况③劳保用品配置措施进行综合打分，完全响应得6分 ；方案中每有一项内容缺失扣2分，方案内容要素中每存在一处缺陷扣0.5分，该分项分值扣完为止。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供应商提供针对本项目的人员配备方案，包含①项目成员配备科学规范及劳动力保障措施 ②人员组成结构及人员的服务技术能力③配备人员资质经验合理性综合评审，完全响应得6分；方案中每有一项内容缺失扣2分，方案内容要素中每存在一处缺陷扣0.5分，该分项分值扣完为止。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质量管理方案</w:t>
            </w:r>
          </w:p>
        </w:tc>
        <w:tc>
          <w:tcPr>
            <w:tcW w:type="dxa" w:w="2492"/>
          </w:tcPr>
          <w:p>
            <w:pPr>
              <w:pStyle w:val="null3"/>
            </w:pPr>
            <w:r>
              <w:rPr>
                <w:rFonts w:ascii="仿宋_GB2312" w:hAnsi="仿宋_GB2312" w:cs="仿宋_GB2312" w:eastAsia="仿宋_GB2312"/>
              </w:rPr>
              <w:t>供应商提供针对本项目的质量管理方案包含：①质量管理体系②质量保证措施，完全响应得6分 ；方案中每有一项内容缺失扣3分，方案内容要素中每存在一处缺陷扣0.5分，该分项分值扣完为止。 注：缺陷是指：存在项目名称错误、地点区域错误、内容与本项目需求无关、方案内容矛盾或表述前后不一致、仅有框架或标题、适用的标准（方法）错误、明显复制其他项目内容等任意一种情形。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根据供应商提供的①安全管理体系与措施②安全文明施工措施③安全教育及培训计划④安全防护措施等进行综合评审：完全响应得6分 ；方案中每有一项内容缺失扣1.5分，方案内容要素中每存在一处缺陷扣0.5分，该分项分值扣完为止。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供应商提供针对本项目的工期及进度安排计划包含：①保证项目工期实施措施②施工进度表或施工网络节点表措施③出现特殊情况的应急预案进行综合评审：完全响应得9分；方案中每有一项内容缺失扣3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供应商提供针对本项目的环保方案包含：①环境保护管理体系与措施②污染物处理及排放符合国家及地方环境保护标准响应措施；③现场扬尘预防措施进行综合评审：完全响应得6分；方案中每有一项内容缺失扣2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根据供应商2022年01月01日至磋商响应截止时间同类业绩，每提供一份有效合同得1分，最高得7分。注：需提供合同复印件及发票，以合同签订时间为准。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绿色建材</w:t>
            </w:r>
          </w:p>
        </w:tc>
        <w:tc>
          <w:tcPr>
            <w:tcW w:type="dxa" w:w="2492"/>
          </w:tcPr>
          <w:p>
            <w:pPr>
              <w:pStyle w:val="null3"/>
            </w:pPr>
            <w:r>
              <w:rPr>
                <w:rFonts w:ascii="仿宋_GB2312" w:hAnsi="仿宋_GB2312" w:cs="仿宋_GB2312" w:eastAsia="仿宋_GB2312"/>
              </w:rPr>
              <w:t>供应商所提供的产品中每有一项为绿色建材产品的得0.5分。本项最高得1分(以经国家确定的认证机构出具的、处于有效期内的绿色建材产品认证证书等证明性材料为准。)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对供应商提供的售后服务方案，包括①承诺维修响应时间②售后人员配置③工程质保承诺方案等进行综合评定：完全响应得9分 ；方案中每有一项内容缺失扣3分，方案内容要素中每存在一处缺陷扣0.5分，该分项分值扣完为止。 注：缺陷是指：存在项目名称错误、地点区域错误、内容与本项目需求无关、方案内容矛盾或表述前后不一致、仅有框架或标题、适用的标准（方法）错误、明显复制其他项目内容等任意一种情形。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最终最低有效报价得35分。以本次最终最低有效报价为基准价，报价得分=(磋商基准价÷最终有效磋商报价)×价格权值×100。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详见附件：响应文件其他格式.docx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详见附件：施工工程类合同模板.docx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