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74AA94">
      <w:pPr>
        <w:rPr>
          <w:rFonts w:hint="eastAsia"/>
          <w:lang w:val="en-US" w:eastAsia="zh-CN"/>
        </w:rPr>
      </w:pPr>
      <w:bookmarkStart w:id="6" w:name="_GoBack"/>
      <w:bookmarkEnd w:id="6"/>
    </w:p>
    <w:p w14:paraId="575AC38B">
      <w:pPr>
        <w:pStyle w:val="6"/>
        <w:keepNext w:val="0"/>
        <w:keepLines w:val="0"/>
        <w:widowControl/>
        <w:suppressLineNumbers w:val="0"/>
        <w:spacing w:before="0" w:beforeAutospacing="0" w:after="0" w:afterAutospacing="0"/>
        <w:ind w:left="0" w:right="0" w:firstLine="0"/>
        <w:jc w:val="center"/>
        <w:rPr>
          <w:rFonts w:hint="eastAsia" w:ascii="宋体" w:hAnsi="宋体" w:eastAsia="宋体" w:cs="宋体"/>
          <w:b/>
          <w:bCs/>
          <w:sz w:val="36"/>
          <w:szCs w:val="36"/>
          <w:lang w:val="en-US" w:eastAsia="zh-CN"/>
        </w:rPr>
      </w:pPr>
      <w:r>
        <w:rPr>
          <w:rFonts w:hint="eastAsia"/>
          <w:b/>
          <w:bCs/>
          <w:sz w:val="40"/>
          <w:szCs w:val="48"/>
          <w:lang w:val="en-US" w:eastAsia="zh-CN"/>
        </w:rPr>
        <w:t>府谷县老高川镇学区操场舞台标准化改造与功能升级项目采购需求文件</w:t>
      </w:r>
    </w:p>
    <w:p w14:paraId="1CD5C984">
      <w:pPr>
        <w:numPr>
          <w:ilvl w:val="0"/>
          <w:numId w:val="1"/>
        </w:numPr>
        <w:rPr>
          <w:rFonts w:hint="eastAsia" w:ascii="宋体" w:hAnsi="宋体" w:eastAsia="宋体" w:cs="宋体"/>
          <w:b/>
          <w:bCs/>
          <w:kern w:val="2"/>
          <w:sz w:val="28"/>
          <w:szCs w:val="28"/>
          <w:lang w:val="en-US" w:eastAsia="zh-CN" w:bidi="ar-SA"/>
        </w:rPr>
      </w:pPr>
      <w:r>
        <w:rPr>
          <w:rFonts w:hint="eastAsia" w:ascii="宋体" w:hAnsi="宋体" w:eastAsia="宋体" w:cs="宋体"/>
          <w:b/>
          <w:bCs/>
          <w:sz w:val="28"/>
          <w:szCs w:val="28"/>
          <w:lang w:val="en-US" w:eastAsia="zh-CN"/>
        </w:rPr>
        <w:t>采购项目名称：</w:t>
      </w:r>
      <w:r>
        <w:rPr>
          <w:rFonts w:hint="eastAsia" w:ascii="宋体" w:hAnsi="宋体" w:eastAsia="宋体" w:cs="宋体"/>
          <w:b/>
          <w:bCs/>
          <w:kern w:val="2"/>
          <w:sz w:val="28"/>
          <w:szCs w:val="28"/>
          <w:lang w:val="en-US" w:eastAsia="zh-CN" w:bidi="ar-SA"/>
        </w:rPr>
        <w:t>府谷县老高川镇学区操场舞台标准化改造与功能升级项目</w:t>
      </w:r>
    </w:p>
    <w:p w14:paraId="7F673104">
      <w:pPr>
        <w:numPr>
          <w:ilvl w:val="0"/>
          <w:numId w:val="1"/>
        </w:numPr>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采购项目预算、资金构成和采购方式：</w:t>
      </w:r>
    </w:p>
    <w:p w14:paraId="39A75BC6">
      <w:pPr>
        <w:ind w:firstLine="280" w:firstLineChars="1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1、采购项目预算：（见上传附件）</w:t>
      </w:r>
    </w:p>
    <w:p w14:paraId="5CEB851B">
      <w:pPr>
        <w:ind w:firstLine="280" w:firstLineChars="1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2、资金来源：其他财政资金</w:t>
      </w:r>
    </w:p>
    <w:p w14:paraId="0CE9C4FC">
      <w:pPr>
        <w:ind w:firstLine="280" w:firstLineChars="1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3、价格信息来源：市场询价，咨询相关技术专家</w:t>
      </w:r>
    </w:p>
    <w:p w14:paraId="7585C0AC">
      <w:pPr>
        <w:ind w:firstLine="280" w:firstLineChars="10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4、采购方式：竞争性谈判</w:t>
      </w:r>
    </w:p>
    <w:p w14:paraId="430D0F06">
      <w:pPr>
        <w:pStyle w:val="2"/>
        <w:ind w:firstLine="280" w:firstLineChars="100"/>
        <w:rPr>
          <w:rFonts w:hint="default"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5.项目概算价：</w:t>
      </w:r>
      <w:r>
        <w:rPr>
          <w:rFonts w:hint="eastAsia" w:ascii="宋体" w:hAnsi="宋体" w:cs="宋体"/>
          <w:b w:val="0"/>
          <w:bCs w:val="0"/>
          <w:kern w:val="2"/>
          <w:sz w:val="28"/>
          <w:szCs w:val="28"/>
          <w:lang w:val="en-US" w:eastAsia="zh-CN" w:bidi="ar-SA"/>
        </w:rPr>
        <w:t>535070.00元</w:t>
      </w:r>
    </w:p>
    <w:p w14:paraId="691E5774">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三、工期、地点、概况、履行期限及方式</w:t>
      </w:r>
    </w:p>
    <w:p w14:paraId="0758C36F">
      <w:pPr>
        <w:ind w:firstLine="280" w:firstLineChars="100"/>
        <w:rPr>
          <w:rFonts w:hint="default" w:ascii="宋体" w:hAnsi="宋体" w:eastAsia="宋体" w:cs="宋体"/>
          <w:b/>
          <w:bCs/>
          <w:sz w:val="28"/>
          <w:szCs w:val="28"/>
          <w:lang w:val="en-US" w:eastAsia="zh-CN"/>
        </w:rPr>
      </w:pPr>
      <w:r>
        <w:rPr>
          <w:rFonts w:hint="eastAsia" w:ascii="宋体" w:hAnsi="宋体" w:eastAsia="宋体" w:cs="宋体"/>
          <w:sz w:val="28"/>
          <w:szCs w:val="28"/>
          <w:lang w:val="en-US" w:eastAsia="zh-CN"/>
        </w:rPr>
        <w:t>1、项目工期：30日历天</w:t>
      </w:r>
      <w:r>
        <w:rPr>
          <w:rFonts w:hint="eastAsia" w:ascii="宋体" w:hAnsi="宋体" w:eastAsia="宋体" w:cs="宋体"/>
          <w:sz w:val="28"/>
          <w:szCs w:val="28"/>
          <w:highlight w:val="none"/>
          <w:lang w:val="en-US" w:eastAsia="zh-CN"/>
        </w:rPr>
        <w:t>。</w:t>
      </w:r>
    </w:p>
    <w:p w14:paraId="09A72A25">
      <w:pPr>
        <w:ind w:firstLine="280" w:firstLineChars="1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2、项目实施地点：府</w:t>
      </w:r>
      <w:r>
        <w:rPr>
          <w:rFonts w:hint="eastAsia" w:ascii="宋体" w:hAnsi="宋体" w:eastAsia="宋体" w:cs="宋体"/>
          <w:kern w:val="2"/>
          <w:sz w:val="28"/>
          <w:szCs w:val="28"/>
          <w:lang w:val="en-US" w:eastAsia="zh-CN" w:bidi="ar-SA"/>
        </w:rPr>
        <w:t>谷县老高川学校</w:t>
      </w:r>
      <w:r>
        <w:rPr>
          <w:rFonts w:hint="eastAsia" w:ascii="宋体" w:hAnsi="宋体" w:eastAsia="宋体" w:cs="宋体"/>
          <w:sz w:val="28"/>
          <w:szCs w:val="28"/>
          <w:lang w:val="en-US" w:eastAsia="zh-CN"/>
        </w:rPr>
        <w:t>。</w:t>
      </w:r>
    </w:p>
    <w:p w14:paraId="70631470">
      <w:pPr>
        <w:pStyle w:val="6"/>
        <w:keepNext w:val="0"/>
        <w:keepLines w:val="0"/>
        <w:widowControl/>
        <w:numPr>
          <w:ilvl w:val="0"/>
          <w:numId w:val="0"/>
        </w:numPr>
        <w:suppressLineNumbers w:val="0"/>
        <w:spacing w:before="0" w:beforeAutospacing="0" w:after="0" w:afterAutospacing="0"/>
        <w:ind w:left="210" w:leftChars="0" w:right="0" w:rightChars="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3、项目概况：本项目为府谷县老高川镇学区操场舞台标准化改造与功能升级项目。本项目内容主要包括舞台膜结构建设、舞台地坪建设、操场户外LED屏、室外线阵列音响。</w:t>
      </w:r>
    </w:p>
    <w:p w14:paraId="2A677646">
      <w:pPr>
        <w:numPr>
          <w:ilvl w:val="0"/>
          <w:numId w:val="0"/>
        </w:numPr>
        <w:rPr>
          <w:rFonts w:hint="eastAsia" w:ascii="宋体" w:hAnsi="宋体" w:eastAsia="宋体" w:cs="宋体"/>
          <w:b/>
          <w:bCs/>
          <w:color w:val="FF0000"/>
          <w:sz w:val="28"/>
          <w:szCs w:val="28"/>
          <w:lang w:val="en-US" w:eastAsia="zh-CN"/>
        </w:rPr>
      </w:pPr>
      <w:r>
        <w:rPr>
          <w:rFonts w:hint="eastAsia" w:ascii="宋体" w:hAnsi="宋体" w:eastAsia="宋体" w:cs="宋体"/>
          <w:b/>
          <w:bCs/>
          <w:sz w:val="28"/>
          <w:szCs w:val="28"/>
          <w:lang w:val="en-US" w:eastAsia="zh-CN"/>
        </w:rPr>
        <w:t>四、合同模板</w:t>
      </w:r>
    </w:p>
    <w:p w14:paraId="4044D7D3">
      <w:pPr>
        <w:autoSpaceDN w:val="0"/>
        <w:adjustRightInd w:val="0"/>
        <w:snapToGrid w:val="0"/>
        <w:spacing w:line="360" w:lineRule="auto"/>
        <w:ind w:firstLine="1897" w:firstLineChars="900"/>
        <w:jc w:val="left"/>
        <w:rPr>
          <w:rFonts w:hint="eastAsia" w:ascii="宋体" w:hAnsi="宋体" w:eastAsia="宋体" w:cs="宋体"/>
          <w:b/>
          <w:bCs/>
          <w:sz w:val="21"/>
          <w:szCs w:val="24"/>
          <w:lang w:val="en-US" w:eastAsia="zh-CN"/>
        </w:rPr>
      </w:pPr>
      <w:r>
        <w:rPr>
          <w:rFonts w:hint="eastAsia" w:ascii="宋体" w:hAnsi="宋体" w:eastAsia="宋体" w:cs="宋体"/>
          <w:b/>
          <w:bCs/>
          <w:sz w:val="21"/>
          <w:szCs w:val="24"/>
          <w:lang w:val="en-US" w:eastAsia="zh-CN"/>
        </w:rPr>
        <w:t>府谷县老高川镇学区操场舞台标准化改造与功能升级项目采购合同</w:t>
      </w:r>
    </w:p>
    <w:p w14:paraId="5702C1A8">
      <w:pPr>
        <w:autoSpaceDN w:val="0"/>
        <w:adjustRightInd w:val="0"/>
        <w:snapToGrid w:val="0"/>
        <w:spacing w:line="360" w:lineRule="auto"/>
        <w:ind w:firstLine="420" w:firstLineChars="200"/>
        <w:jc w:val="left"/>
        <w:rPr>
          <w:rFonts w:hint="eastAsia" w:ascii="宋体" w:hAnsi="宋体" w:eastAsia="宋体" w:cs="宋体"/>
          <w:snapToGrid w:val="0"/>
          <w:color w:val="auto"/>
          <w:kern w:val="0"/>
          <w:sz w:val="21"/>
          <w:szCs w:val="21"/>
          <w:lang w:eastAsia="zh-Hans"/>
        </w:rPr>
      </w:pPr>
      <w:r>
        <w:rPr>
          <w:rFonts w:hint="eastAsia" w:ascii="宋体" w:hAnsi="宋体" w:eastAsia="宋体" w:cs="宋体"/>
          <w:snapToGrid w:val="0"/>
          <w:color w:val="auto"/>
          <w:kern w:val="0"/>
          <w:sz w:val="21"/>
          <w:szCs w:val="21"/>
          <w:lang w:eastAsia="zh-Hans"/>
        </w:rPr>
        <w:t>甲方（</w:t>
      </w:r>
      <w:r>
        <w:rPr>
          <w:rFonts w:hint="eastAsia" w:ascii="宋体" w:hAnsi="宋体" w:eastAsia="宋体" w:cs="宋体"/>
          <w:snapToGrid w:val="0"/>
          <w:color w:val="auto"/>
          <w:kern w:val="0"/>
          <w:sz w:val="21"/>
          <w:szCs w:val="21"/>
        </w:rPr>
        <w:t>采购人</w:t>
      </w:r>
      <w:r>
        <w:rPr>
          <w:rFonts w:hint="eastAsia" w:ascii="宋体" w:hAnsi="宋体" w:eastAsia="宋体" w:cs="宋体"/>
          <w:snapToGrid w:val="0"/>
          <w:color w:val="auto"/>
          <w:kern w:val="0"/>
          <w:sz w:val="21"/>
          <w:szCs w:val="21"/>
          <w:lang w:eastAsia="zh-Hans"/>
        </w:rPr>
        <w:t>）：</w:t>
      </w:r>
      <w:r>
        <w:rPr>
          <w:rFonts w:hint="eastAsia" w:ascii="宋体" w:hAnsi="宋体" w:eastAsia="宋体" w:cs="宋体"/>
          <w:snapToGrid w:val="0"/>
          <w:color w:val="auto"/>
          <w:kern w:val="0"/>
          <w:sz w:val="21"/>
          <w:szCs w:val="21"/>
        </w:rPr>
        <w:t xml:space="preserve">                                      </w:t>
      </w:r>
    </w:p>
    <w:p w14:paraId="2ED1CEB8">
      <w:pPr>
        <w:autoSpaceDN w:val="0"/>
        <w:adjustRightInd w:val="0"/>
        <w:snapToGrid w:val="0"/>
        <w:spacing w:line="360" w:lineRule="auto"/>
        <w:ind w:firstLine="420" w:firstLineChars="200"/>
        <w:jc w:val="left"/>
        <w:rPr>
          <w:rFonts w:hint="eastAsia" w:ascii="宋体" w:hAnsi="宋体" w:eastAsia="宋体" w:cs="宋体"/>
          <w:snapToGrid w:val="0"/>
          <w:color w:val="auto"/>
          <w:kern w:val="0"/>
          <w:sz w:val="21"/>
          <w:szCs w:val="21"/>
          <w:lang w:eastAsia="zh-Hans"/>
        </w:rPr>
      </w:pPr>
      <w:r>
        <w:rPr>
          <w:rFonts w:hint="eastAsia" w:ascii="宋体" w:hAnsi="宋体" w:eastAsia="宋体" w:cs="宋体"/>
          <w:snapToGrid w:val="0"/>
          <w:color w:val="auto"/>
          <w:kern w:val="0"/>
          <w:sz w:val="21"/>
          <w:szCs w:val="21"/>
          <w:lang w:eastAsia="zh-Hans"/>
        </w:rPr>
        <w:t>乙方（</w:t>
      </w:r>
      <w:r>
        <w:rPr>
          <w:rFonts w:hint="eastAsia" w:ascii="宋体" w:hAnsi="宋体" w:eastAsia="宋体" w:cs="宋体"/>
          <w:snapToGrid w:val="0"/>
          <w:color w:val="auto"/>
          <w:kern w:val="0"/>
          <w:sz w:val="21"/>
          <w:szCs w:val="21"/>
        </w:rPr>
        <w:t>中标人</w:t>
      </w:r>
      <w:r>
        <w:rPr>
          <w:rFonts w:hint="eastAsia" w:ascii="宋体" w:hAnsi="宋体" w:eastAsia="宋体" w:cs="宋体"/>
          <w:snapToGrid w:val="0"/>
          <w:color w:val="auto"/>
          <w:kern w:val="0"/>
          <w:sz w:val="21"/>
          <w:szCs w:val="21"/>
          <w:lang w:eastAsia="zh-Hans"/>
        </w:rPr>
        <w:t>）：</w:t>
      </w:r>
      <w:r>
        <w:rPr>
          <w:rFonts w:hint="eastAsia" w:ascii="宋体" w:hAnsi="宋体" w:eastAsia="宋体" w:cs="宋体"/>
          <w:snapToGrid w:val="0"/>
          <w:color w:val="auto"/>
          <w:kern w:val="0"/>
          <w:sz w:val="21"/>
          <w:szCs w:val="21"/>
        </w:rPr>
        <w:t xml:space="preserve"> </w:t>
      </w:r>
      <w:r>
        <w:rPr>
          <w:rFonts w:hint="eastAsia" w:ascii="宋体" w:hAnsi="宋体" w:eastAsia="宋体" w:cs="宋体"/>
          <w:snapToGrid w:val="0"/>
          <w:color w:val="auto"/>
          <w:kern w:val="0"/>
          <w:sz w:val="21"/>
          <w:szCs w:val="21"/>
          <w:lang w:eastAsia="zh-Hans"/>
        </w:rPr>
        <w:t xml:space="preserve">             </w:t>
      </w:r>
      <w:r>
        <w:rPr>
          <w:rFonts w:hint="eastAsia" w:ascii="宋体" w:hAnsi="宋体" w:eastAsia="宋体" w:cs="宋体"/>
          <w:snapToGrid w:val="0"/>
          <w:color w:val="auto"/>
          <w:kern w:val="0"/>
          <w:sz w:val="21"/>
          <w:szCs w:val="21"/>
        </w:rPr>
        <w:t xml:space="preserve">                        </w:t>
      </w:r>
    </w:p>
    <w:p w14:paraId="5929CFCE">
      <w:pPr>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snapToGrid w:val="0"/>
          <w:color w:val="auto"/>
          <w:kern w:val="0"/>
          <w:sz w:val="21"/>
          <w:szCs w:val="21"/>
        </w:rPr>
      </w:pPr>
      <w:r>
        <w:rPr>
          <w:rFonts w:hint="eastAsia" w:ascii="宋体" w:hAnsi="宋体" w:eastAsia="宋体" w:cs="宋体"/>
          <w:snapToGrid w:val="0"/>
          <w:color w:val="auto"/>
          <w:kern w:val="0"/>
          <w:sz w:val="21"/>
          <w:szCs w:val="21"/>
        </w:rPr>
        <w:t>根据《中华人民共和国政府采购法》、《中华人民共和国</w:t>
      </w:r>
      <w:r>
        <w:rPr>
          <w:rFonts w:hint="eastAsia" w:ascii="宋体" w:hAnsi="宋体" w:eastAsia="宋体" w:cs="宋体"/>
          <w:snapToGrid w:val="0"/>
          <w:color w:val="auto"/>
          <w:kern w:val="0"/>
          <w:sz w:val="21"/>
          <w:szCs w:val="21"/>
          <w:lang w:val="en-US" w:eastAsia="zh-CN"/>
        </w:rPr>
        <w:t>民法典</w:t>
      </w:r>
      <w:r>
        <w:rPr>
          <w:rFonts w:hint="eastAsia" w:ascii="宋体" w:hAnsi="宋体" w:eastAsia="宋体" w:cs="宋体"/>
          <w:snapToGrid w:val="0"/>
          <w:color w:val="auto"/>
          <w:kern w:val="0"/>
          <w:sz w:val="21"/>
          <w:szCs w:val="21"/>
        </w:rPr>
        <w:t>》等相关法律，甲、乙双方经平等协商一致，就“</w:t>
      </w:r>
      <w:r>
        <w:rPr>
          <w:rFonts w:hint="eastAsia" w:ascii="宋体" w:hAnsi="宋体" w:eastAsia="宋体" w:cs="宋体"/>
          <w:sz w:val="21"/>
          <w:szCs w:val="24"/>
          <w:lang w:val="en-US" w:eastAsia="zh-CN"/>
        </w:rPr>
        <w:t>一、府谷县老高川镇学区操场舞台标准化改造与功能升级项目</w:t>
      </w:r>
      <w:r>
        <w:rPr>
          <w:rFonts w:hint="eastAsia" w:ascii="宋体" w:hAnsi="宋体" w:eastAsia="宋体" w:cs="宋体"/>
          <w:snapToGrid w:val="0"/>
          <w:color w:val="auto"/>
          <w:kern w:val="0"/>
          <w:sz w:val="21"/>
          <w:szCs w:val="21"/>
        </w:rPr>
        <w:t xml:space="preserve">”承办达成合同如下：                       </w:t>
      </w:r>
    </w:p>
    <w:p w14:paraId="51F1660D">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一、合同文件</w:t>
      </w:r>
    </w:p>
    <w:p w14:paraId="1BFF93C4">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本合同所附下列文件是构成本合同不可分割的部分，组成合同的各项文件应互相解释，互为说明，解释合同文件的优先顺序如下：</w:t>
      </w:r>
    </w:p>
    <w:p w14:paraId="72C6B1D7">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合同条款</w:t>
      </w:r>
    </w:p>
    <w:p w14:paraId="3B71E4DC">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2.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通知书</w:t>
      </w:r>
    </w:p>
    <w:p w14:paraId="76C4628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3.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人在评标过程中做出的有关澄清、说明、承诺或者补正文件</w:t>
      </w:r>
    </w:p>
    <w:p w14:paraId="0E79FC5D">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4. </w:t>
      </w:r>
      <w:r>
        <w:rPr>
          <w:rFonts w:hint="eastAsia" w:ascii="宋体" w:hAnsi="宋体" w:eastAsia="宋体" w:cs="宋体"/>
          <w:color w:val="auto"/>
          <w:sz w:val="21"/>
          <w:szCs w:val="21"/>
          <w:lang w:eastAsia="zh-CN"/>
        </w:rPr>
        <w:t>谈判</w:t>
      </w:r>
      <w:r>
        <w:rPr>
          <w:rFonts w:hint="eastAsia" w:ascii="宋体" w:hAnsi="宋体" w:eastAsia="宋体" w:cs="宋体"/>
          <w:color w:val="auto"/>
          <w:sz w:val="21"/>
          <w:szCs w:val="21"/>
        </w:rPr>
        <w:t>文件</w:t>
      </w:r>
    </w:p>
    <w:p w14:paraId="6A799A8A">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 xml:space="preserve">5. </w:t>
      </w:r>
      <w:r>
        <w:rPr>
          <w:rFonts w:hint="eastAsia" w:ascii="宋体" w:hAnsi="宋体" w:eastAsia="宋体" w:cs="宋体"/>
          <w:color w:val="auto"/>
          <w:sz w:val="21"/>
          <w:szCs w:val="21"/>
          <w:lang w:eastAsia="zh-CN"/>
        </w:rPr>
        <w:t>成交</w:t>
      </w:r>
      <w:r>
        <w:rPr>
          <w:rFonts w:hint="eastAsia" w:ascii="宋体" w:hAnsi="宋体" w:eastAsia="宋体" w:cs="宋体"/>
          <w:color w:val="auto"/>
          <w:sz w:val="21"/>
          <w:szCs w:val="21"/>
        </w:rPr>
        <w:t>人的</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文件</w:t>
      </w:r>
    </w:p>
    <w:p w14:paraId="22652676">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 本合同附件</w:t>
      </w:r>
    </w:p>
    <w:p w14:paraId="0F8557D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同一层次的合同文件规定有矛盾的以较后时间制定的为准。</w:t>
      </w:r>
    </w:p>
    <w:p w14:paraId="785CA2A1">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二、合同的范围和条件</w:t>
      </w:r>
    </w:p>
    <w:p w14:paraId="0D111580">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本合同的范围和条件应与上述合同文件的规定相一致。</w:t>
      </w:r>
    </w:p>
    <w:p w14:paraId="5ED9E840">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三、</w:t>
      </w:r>
      <w:r>
        <w:rPr>
          <w:rFonts w:hint="eastAsia" w:ascii="宋体" w:hAnsi="宋体" w:eastAsia="宋体" w:cs="宋体"/>
          <w:b/>
          <w:color w:val="auto"/>
          <w:sz w:val="21"/>
          <w:szCs w:val="21"/>
          <w:lang w:eastAsia="zh-CN"/>
        </w:rPr>
        <w:t>工程</w:t>
      </w:r>
      <w:r>
        <w:rPr>
          <w:rFonts w:hint="eastAsia" w:ascii="宋体" w:hAnsi="宋体" w:eastAsia="宋体" w:cs="宋体"/>
          <w:b/>
          <w:color w:val="auto"/>
          <w:sz w:val="21"/>
          <w:szCs w:val="21"/>
        </w:rPr>
        <w:t>项目</w:t>
      </w:r>
    </w:p>
    <w:p w14:paraId="52E93E2F">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本合同所提供的</w:t>
      </w:r>
      <w:r>
        <w:rPr>
          <w:rFonts w:hint="eastAsia" w:ascii="宋体" w:hAnsi="宋体" w:eastAsia="宋体" w:cs="宋体"/>
          <w:color w:val="auto"/>
          <w:sz w:val="21"/>
          <w:szCs w:val="21"/>
          <w:lang w:eastAsia="zh-CN"/>
        </w:rPr>
        <w:t>工程</w:t>
      </w:r>
      <w:r>
        <w:rPr>
          <w:rFonts w:hint="eastAsia" w:ascii="宋体" w:hAnsi="宋体" w:eastAsia="宋体" w:cs="宋体"/>
          <w:color w:val="auto"/>
          <w:sz w:val="21"/>
          <w:szCs w:val="21"/>
        </w:rPr>
        <w:t>项目内容：（与</w:t>
      </w:r>
      <w:r>
        <w:rPr>
          <w:rFonts w:hint="eastAsia" w:ascii="宋体" w:hAnsi="宋体" w:eastAsia="宋体" w:cs="宋体"/>
          <w:color w:val="auto"/>
          <w:sz w:val="21"/>
          <w:szCs w:val="21"/>
          <w:lang w:eastAsia="zh-CN"/>
        </w:rPr>
        <w:t>响应</w:t>
      </w:r>
      <w:r>
        <w:rPr>
          <w:rFonts w:hint="eastAsia" w:ascii="宋体" w:hAnsi="宋体" w:eastAsia="宋体" w:cs="宋体"/>
          <w:color w:val="auto"/>
          <w:sz w:val="21"/>
          <w:szCs w:val="21"/>
        </w:rPr>
        <w:t>文件中</w:t>
      </w:r>
      <w:r>
        <w:rPr>
          <w:rFonts w:hint="eastAsia" w:ascii="宋体" w:hAnsi="宋体" w:eastAsia="宋体" w:cs="宋体"/>
          <w:color w:val="auto"/>
          <w:sz w:val="21"/>
          <w:szCs w:val="21"/>
          <w:lang w:eastAsia="zh-CN"/>
        </w:rPr>
        <w:t>工程</w:t>
      </w:r>
      <w:r>
        <w:rPr>
          <w:rFonts w:hint="eastAsia" w:ascii="宋体" w:hAnsi="宋体" w:eastAsia="宋体" w:cs="宋体"/>
          <w:color w:val="auto"/>
          <w:sz w:val="21"/>
          <w:szCs w:val="21"/>
        </w:rPr>
        <w:t>明细表一致）。</w:t>
      </w:r>
    </w:p>
    <w:p w14:paraId="2E77C0B6">
      <w:pPr>
        <w:adjustRightInd w:val="0"/>
        <w:snapToGrid w:val="0"/>
        <w:spacing w:line="360" w:lineRule="auto"/>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                                                        </w:t>
      </w:r>
    </w:p>
    <w:p w14:paraId="7D44A75A">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四、合同金额</w:t>
      </w:r>
    </w:p>
    <w:p w14:paraId="62DA9B65">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合同金额为人民币大写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759C548F">
      <w:pPr>
        <w:adjustRightInd w:val="0"/>
        <w:snapToGrid w:val="0"/>
        <w:spacing w:line="360" w:lineRule="auto"/>
        <w:ind w:firstLine="422" w:firstLineChars="200"/>
        <w:rPr>
          <w:rFonts w:hint="eastAsia" w:ascii="宋体" w:hAnsi="宋体" w:eastAsia="宋体" w:cs="宋体"/>
          <w:color w:val="auto"/>
          <w:sz w:val="21"/>
          <w:szCs w:val="21"/>
        </w:rPr>
      </w:pPr>
      <w:r>
        <w:rPr>
          <w:rFonts w:hint="eastAsia" w:ascii="宋体" w:hAnsi="宋体" w:eastAsia="宋体" w:cs="宋体"/>
          <w:b/>
          <w:color w:val="auto"/>
          <w:sz w:val="21"/>
          <w:szCs w:val="21"/>
        </w:rPr>
        <w:t>五、付款途径</w:t>
      </w:r>
      <w:r>
        <w:rPr>
          <w:rFonts w:hint="eastAsia" w:ascii="宋体" w:hAnsi="宋体" w:eastAsia="宋体" w:cs="宋体"/>
          <w:color w:val="auto"/>
          <w:sz w:val="21"/>
          <w:szCs w:val="21"/>
        </w:rPr>
        <w:t>：</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3384EDFB">
      <w:pPr>
        <w:spacing w:line="560" w:lineRule="exact"/>
        <w:ind w:firstLine="422" w:firstLineChars="200"/>
        <w:textAlignment w:val="baseline"/>
        <w:rPr>
          <w:rFonts w:hint="default" w:ascii="宋体" w:hAnsi="宋体" w:eastAsia="宋体" w:cs="宋体"/>
          <w:color w:val="auto"/>
          <w:sz w:val="21"/>
          <w:szCs w:val="21"/>
          <w:lang w:val="en-US" w:eastAsia="zh-CN"/>
        </w:rPr>
      </w:pPr>
      <w:r>
        <w:rPr>
          <w:rFonts w:hint="eastAsia" w:ascii="宋体" w:hAnsi="宋体" w:eastAsia="宋体" w:cs="宋体"/>
          <w:b/>
          <w:color w:val="auto"/>
          <w:sz w:val="21"/>
          <w:szCs w:val="21"/>
        </w:rPr>
        <w:t>六、付款方式</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合同签订后，支付本项目总造价的 40%；项目验收合格后，付清剩余款项。</w:t>
      </w:r>
    </w:p>
    <w:p w14:paraId="02A16634">
      <w:pPr>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七、知识产权</w:t>
      </w:r>
    </w:p>
    <w:p w14:paraId="348C9D22">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乙方应保证甲方所使用的服务成果免受第三方提出的侵犯其知识产权的诉讼。</w:t>
      </w:r>
    </w:p>
    <w:p w14:paraId="6B5AAAAA">
      <w:pPr>
        <w:adjustRightInd w:val="0"/>
        <w:snapToGrid w:val="0"/>
        <w:spacing w:line="360" w:lineRule="auto"/>
        <w:ind w:firstLine="422" w:firstLineChars="200"/>
        <w:rPr>
          <w:rFonts w:hint="eastAsia" w:ascii="宋体" w:hAnsi="宋体" w:eastAsia="宋体" w:cs="宋体"/>
          <w:b/>
          <w:bCs/>
          <w:color w:val="auto"/>
          <w:sz w:val="21"/>
          <w:szCs w:val="21"/>
        </w:rPr>
      </w:pPr>
      <w:bookmarkStart w:id="0" w:name="_Toc223404485"/>
      <w:r>
        <w:rPr>
          <w:rFonts w:hint="eastAsia" w:ascii="宋体" w:hAnsi="宋体" w:eastAsia="宋体" w:cs="宋体"/>
          <w:b/>
          <w:bCs/>
          <w:color w:val="auto"/>
          <w:sz w:val="21"/>
          <w:szCs w:val="21"/>
        </w:rPr>
        <w:t>八、违约条款</w:t>
      </w:r>
      <w:bookmarkEnd w:id="0"/>
    </w:p>
    <w:p w14:paraId="01D011E3">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一方不按期履行合同，并经另一方提示后</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日内仍不履行合同的，守约方有权解除合同，违约方要承担相应的法律责任。</w:t>
      </w:r>
    </w:p>
    <w:p w14:paraId="2CB870E6">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 如因一方违约，双方未能就赔偿损失达成协议，引起诉讼或仲裁时，违约方除应赔偿对方经济损失外，还应承担因诉讼或仲裁所支付的律师代理费等相关费用。</w:t>
      </w:r>
    </w:p>
    <w:p w14:paraId="75AD4949">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 其它应承担的违约责任，以《中华人民共和国</w:t>
      </w:r>
      <w:r>
        <w:rPr>
          <w:rFonts w:hint="eastAsia" w:ascii="宋体" w:hAnsi="宋体" w:eastAsia="宋体" w:cs="宋体"/>
          <w:color w:val="auto"/>
          <w:sz w:val="21"/>
          <w:szCs w:val="21"/>
          <w:lang w:val="en-US" w:eastAsia="zh-CN"/>
        </w:rPr>
        <w:t>民法典</w:t>
      </w:r>
      <w:r>
        <w:rPr>
          <w:rFonts w:hint="eastAsia" w:ascii="宋体" w:hAnsi="宋体" w:eastAsia="宋体" w:cs="宋体"/>
          <w:color w:val="auto"/>
          <w:sz w:val="21"/>
          <w:szCs w:val="21"/>
        </w:rPr>
        <w:t>》和其它有关法律、法规规定为准，无相关规定的，双方协商解决。</w:t>
      </w:r>
    </w:p>
    <w:p w14:paraId="19B3CF5D">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 按照本合同规定应该偿付的违约金、赔偿金等，应当在明确责任后 7 日内，按银行规定或双方商定的结算办法付清，否则按逾期付款处理。</w:t>
      </w:r>
    </w:p>
    <w:p w14:paraId="39C028CB">
      <w:pPr>
        <w:keepNext/>
        <w:keepLines/>
        <w:widowControl w:val="0"/>
        <w:spacing w:beforeLines="0" w:beforeAutospacing="0" w:afterLines="0" w:afterAutospacing="0" w:line="360" w:lineRule="auto"/>
        <w:ind w:left="0" w:leftChars="0" w:firstLine="422" w:firstLineChars="200"/>
        <w:jc w:val="both"/>
        <w:outlineLvl w:val="1"/>
        <w:rPr>
          <w:rFonts w:hint="eastAsia" w:ascii="宋体" w:hAnsi="宋体" w:eastAsia="宋体" w:cs="宋体"/>
          <w:color w:val="auto"/>
          <w:kern w:val="2"/>
          <w:sz w:val="21"/>
          <w:szCs w:val="21"/>
          <w:lang w:val="en-US" w:eastAsia="zh-CN" w:bidi="ar-SA"/>
        </w:rPr>
      </w:pPr>
      <w:bookmarkStart w:id="1" w:name="_Toc56066561"/>
      <w:bookmarkStart w:id="2" w:name="_Toc31057"/>
      <w:r>
        <w:rPr>
          <w:rFonts w:hint="eastAsia" w:ascii="宋体" w:hAnsi="宋体" w:eastAsia="宋体" w:cs="宋体"/>
          <w:b/>
          <w:bCs/>
          <w:color w:val="auto"/>
          <w:kern w:val="2"/>
          <w:sz w:val="21"/>
          <w:szCs w:val="21"/>
          <w:lang w:val="en-US" w:eastAsia="zh-CN" w:bidi="ar-SA"/>
        </w:rPr>
        <w:t>九、履约验收</w:t>
      </w:r>
      <w:bookmarkEnd w:id="1"/>
      <w:bookmarkEnd w:id="2"/>
      <w:r>
        <w:rPr>
          <w:rFonts w:hint="eastAsia" w:ascii="宋体" w:hAnsi="宋体" w:eastAsia="宋体" w:cs="宋体"/>
          <w:b/>
          <w:bCs/>
          <w:color w:val="auto"/>
          <w:kern w:val="2"/>
          <w:sz w:val="21"/>
          <w:szCs w:val="21"/>
          <w:lang w:val="en-US" w:eastAsia="zh-CN" w:bidi="ar-SA"/>
        </w:rPr>
        <w:t>标准和方式</w:t>
      </w:r>
    </w:p>
    <w:p w14:paraId="107D1B68">
      <w:pPr>
        <w:adjustRightInd w:val="0"/>
        <w:snapToGrid w:val="0"/>
        <w:spacing w:line="360" w:lineRule="auto"/>
        <w:ind w:firstLine="420" w:firstLineChars="200"/>
        <w:rPr>
          <w:rFonts w:hint="eastAsia" w:ascii="宋体" w:hAnsi="宋体" w:eastAsia="宋体" w:cs="宋体"/>
          <w:sz w:val="21"/>
          <w:szCs w:val="21"/>
          <w:u w:val="single"/>
          <w:lang w:val="en-US" w:eastAsia="zh-CN"/>
        </w:rPr>
      </w:pPr>
      <w:r>
        <w:rPr>
          <w:rFonts w:hint="eastAsia" w:ascii="宋体" w:hAnsi="宋体" w:eastAsia="宋体" w:cs="宋体"/>
          <w:color w:val="auto"/>
          <w:sz w:val="21"/>
          <w:szCs w:val="21"/>
          <w:lang w:val="en-US" w:eastAsia="zh-CN"/>
        </w:rPr>
        <w:t>1.履约验收时间：</w:t>
      </w:r>
      <w:r>
        <w:rPr>
          <w:rFonts w:hint="eastAsia" w:ascii="宋体" w:hAnsi="宋体" w:eastAsia="宋体" w:cs="宋体"/>
          <w:sz w:val="21"/>
          <w:szCs w:val="21"/>
          <w:u w:val="single"/>
          <w:lang w:val="en-US" w:eastAsia="zh-CN"/>
        </w:rPr>
        <w:t>采购人指定时间。</w:t>
      </w:r>
    </w:p>
    <w:p w14:paraId="5651827A">
      <w:pPr>
        <w:adjustRightInd w:val="0"/>
        <w:snapToGrid w:val="0"/>
        <w:spacing w:line="36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2.履约验收主体及内容：</w:t>
      </w:r>
      <w:r>
        <w:rPr>
          <w:rFonts w:hint="eastAsia" w:ascii="宋体" w:hAnsi="宋体" w:eastAsia="宋体" w:cs="宋体"/>
          <w:color w:val="auto"/>
          <w:sz w:val="21"/>
          <w:szCs w:val="21"/>
          <w:u w:val="single"/>
          <w:lang w:val="en-US" w:eastAsia="zh-CN"/>
        </w:rPr>
        <w:t>由采购人根据合同要求，进行验收。</w:t>
      </w:r>
    </w:p>
    <w:p w14:paraId="3460E4D0">
      <w:pPr>
        <w:adjustRightInd w:val="0"/>
        <w:snapToGrid w:val="0"/>
        <w:spacing w:line="36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3.验收标准：</w:t>
      </w:r>
      <w:r>
        <w:rPr>
          <w:rFonts w:hint="eastAsia" w:ascii="宋体" w:hAnsi="宋体" w:eastAsia="宋体" w:cs="宋体"/>
          <w:color w:val="auto"/>
          <w:sz w:val="21"/>
          <w:szCs w:val="21"/>
          <w:u w:val="single"/>
          <w:lang w:val="en-US" w:eastAsia="zh-CN"/>
        </w:rPr>
        <w:t xml:space="preserve">工程质量达到国家、行业验收合格标准。 </w:t>
      </w:r>
    </w:p>
    <w:p w14:paraId="68DB667A">
      <w:pPr>
        <w:adjustRightInd w:val="0"/>
        <w:snapToGrid w:val="0"/>
        <w:spacing w:line="360" w:lineRule="auto"/>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4.验收方式：</w:t>
      </w:r>
      <w:r>
        <w:rPr>
          <w:rFonts w:hint="eastAsia" w:ascii="宋体" w:hAnsi="宋体" w:eastAsia="宋体" w:cs="宋体"/>
          <w:sz w:val="21"/>
          <w:szCs w:val="21"/>
          <w:u w:val="single"/>
        </w:rPr>
        <w:t>由采购单位组织有关专业人员按相关的国家标准、质量标准和</w:t>
      </w:r>
      <w:r>
        <w:rPr>
          <w:rFonts w:hint="eastAsia" w:ascii="宋体" w:hAnsi="宋体" w:eastAsia="宋体" w:cs="宋体"/>
          <w:sz w:val="21"/>
          <w:szCs w:val="21"/>
          <w:u w:val="single"/>
          <w:lang w:eastAsia="zh-CN"/>
        </w:rPr>
        <w:t>采购文件</w:t>
      </w:r>
      <w:r>
        <w:rPr>
          <w:rFonts w:hint="eastAsia" w:ascii="宋体" w:hAnsi="宋体" w:eastAsia="宋体" w:cs="宋体"/>
          <w:sz w:val="21"/>
          <w:szCs w:val="21"/>
          <w:u w:val="single"/>
        </w:rPr>
        <w:t>所列的各项要求进行验收。</w:t>
      </w:r>
    </w:p>
    <w:p w14:paraId="6BD7762F">
      <w:pPr>
        <w:adjustRightInd w:val="0"/>
        <w:snapToGrid w:val="0"/>
        <w:spacing w:line="360" w:lineRule="auto"/>
        <w:ind w:firstLine="422" w:firstLineChars="200"/>
        <w:rPr>
          <w:rFonts w:hint="eastAsia" w:ascii="宋体" w:hAnsi="宋体" w:eastAsia="宋体" w:cs="宋体"/>
          <w:b/>
          <w:bCs/>
          <w:color w:val="auto"/>
          <w:sz w:val="21"/>
          <w:szCs w:val="21"/>
        </w:rPr>
      </w:pPr>
      <w:bookmarkStart w:id="3" w:name="_Toc223404486"/>
      <w:r>
        <w:rPr>
          <w:rFonts w:hint="eastAsia" w:ascii="宋体" w:hAnsi="宋体" w:eastAsia="宋体" w:cs="宋体"/>
          <w:b/>
          <w:bCs/>
          <w:color w:val="auto"/>
          <w:sz w:val="21"/>
          <w:szCs w:val="21"/>
          <w:lang w:eastAsia="zh-CN"/>
        </w:rPr>
        <w:t>十</w:t>
      </w:r>
      <w:r>
        <w:rPr>
          <w:rFonts w:hint="eastAsia" w:ascii="宋体" w:hAnsi="宋体" w:eastAsia="宋体" w:cs="宋体"/>
          <w:b/>
          <w:bCs/>
          <w:color w:val="auto"/>
          <w:sz w:val="21"/>
          <w:szCs w:val="21"/>
        </w:rPr>
        <w:t>、不可抗力条款</w:t>
      </w:r>
      <w:bookmarkEnd w:id="3"/>
    </w:p>
    <w:p w14:paraId="35A9A046">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因不可抗力致使一方不能及时或完全履行合同的，应及时通知采购代理机构及另一方，双方互不承担责任，并在 15天内提供有关不可抗力的相应证明。合同未履行部分是否继续履行、如何履行等问题，可由双方协商解决。</w:t>
      </w:r>
    </w:p>
    <w:p w14:paraId="5ABD1DC0">
      <w:pPr>
        <w:adjustRightInd w:val="0"/>
        <w:snapToGrid w:val="0"/>
        <w:spacing w:line="360" w:lineRule="auto"/>
        <w:ind w:firstLine="422" w:firstLineChars="200"/>
        <w:rPr>
          <w:rFonts w:hint="eastAsia" w:ascii="宋体" w:hAnsi="宋体" w:eastAsia="宋体" w:cs="宋体"/>
          <w:b/>
          <w:bCs/>
          <w:color w:val="auto"/>
          <w:sz w:val="21"/>
          <w:szCs w:val="21"/>
        </w:rPr>
      </w:pPr>
      <w:bookmarkStart w:id="4" w:name="_Toc223404487"/>
      <w:r>
        <w:rPr>
          <w:rFonts w:hint="eastAsia" w:ascii="宋体" w:hAnsi="宋体" w:eastAsia="宋体" w:cs="宋体"/>
          <w:b/>
          <w:bCs/>
          <w:color w:val="auto"/>
          <w:sz w:val="21"/>
          <w:szCs w:val="21"/>
        </w:rPr>
        <w:t>十</w:t>
      </w:r>
      <w:r>
        <w:rPr>
          <w:rFonts w:hint="eastAsia" w:ascii="宋体" w:hAnsi="宋体" w:eastAsia="宋体" w:cs="宋体"/>
          <w:b/>
          <w:bCs/>
          <w:color w:val="auto"/>
          <w:sz w:val="21"/>
          <w:szCs w:val="21"/>
          <w:lang w:eastAsia="zh-CN"/>
        </w:rPr>
        <w:t>一</w:t>
      </w:r>
      <w:r>
        <w:rPr>
          <w:rFonts w:hint="eastAsia" w:ascii="宋体" w:hAnsi="宋体" w:eastAsia="宋体" w:cs="宋体"/>
          <w:b/>
          <w:bCs/>
          <w:color w:val="auto"/>
          <w:sz w:val="21"/>
          <w:szCs w:val="21"/>
        </w:rPr>
        <w:t>、争议的解决方式</w:t>
      </w:r>
      <w:bookmarkEnd w:id="4"/>
    </w:p>
    <w:p w14:paraId="4619459C">
      <w:pPr>
        <w:adjustRightInd w:val="0"/>
        <w:snapToGrid w:val="0"/>
        <w:spacing w:line="360" w:lineRule="auto"/>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本合同执行过程中如发生争议，应本着友好的原则协商解决。协商不成产生的诉讼，由甲方所在地人民法院管辖</w:t>
      </w:r>
      <w:r>
        <w:rPr>
          <w:rFonts w:hint="eastAsia" w:ascii="宋体" w:hAnsi="宋体" w:eastAsia="宋体" w:cs="宋体"/>
          <w:color w:val="auto"/>
          <w:sz w:val="21"/>
          <w:szCs w:val="21"/>
          <w:lang w:eastAsia="zh-CN"/>
        </w:rPr>
        <w:t>。</w:t>
      </w:r>
    </w:p>
    <w:p w14:paraId="1718F39E">
      <w:pPr>
        <w:adjustRightInd w:val="0"/>
        <w:snapToGrid w:val="0"/>
        <w:spacing w:line="360" w:lineRule="auto"/>
        <w:ind w:firstLine="422" w:firstLineChars="200"/>
        <w:rPr>
          <w:rFonts w:hint="eastAsia" w:ascii="宋体" w:hAnsi="宋体" w:eastAsia="宋体" w:cs="宋体"/>
          <w:b/>
          <w:bCs/>
          <w:color w:val="auto"/>
          <w:sz w:val="21"/>
          <w:szCs w:val="21"/>
        </w:rPr>
      </w:pPr>
      <w:bookmarkStart w:id="5" w:name="_Toc223404488"/>
      <w:r>
        <w:rPr>
          <w:rFonts w:hint="eastAsia" w:ascii="宋体" w:hAnsi="宋体" w:eastAsia="宋体" w:cs="宋体"/>
          <w:b/>
          <w:bCs/>
          <w:color w:val="auto"/>
          <w:sz w:val="21"/>
          <w:szCs w:val="21"/>
        </w:rPr>
        <w:t>十</w:t>
      </w:r>
      <w:r>
        <w:rPr>
          <w:rFonts w:hint="eastAsia" w:ascii="宋体" w:hAnsi="宋体" w:eastAsia="宋体" w:cs="宋体"/>
          <w:b/>
          <w:bCs/>
          <w:color w:val="auto"/>
          <w:sz w:val="21"/>
          <w:szCs w:val="21"/>
          <w:lang w:eastAsia="zh-CN"/>
        </w:rPr>
        <w:t>二</w:t>
      </w:r>
      <w:r>
        <w:rPr>
          <w:rFonts w:hint="eastAsia" w:ascii="宋体" w:hAnsi="宋体" w:eastAsia="宋体" w:cs="宋体"/>
          <w:b/>
          <w:bCs/>
          <w:color w:val="auto"/>
          <w:sz w:val="21"/>
          <w:szCs w:val="21"/>
        </w:rPr>
        <w:t>、补充协议</w:t>
      </w:r>
      <w:bookmarkEnd w:id="5"/>
    </w:p>
    <w:p w14:paraId="69003972">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合同未尽事宜，经双方协商可签订补充协议，所签订的补充协议与本合同具有同等的法律效力，补充协议的生效应符合本合同的有关规定。</w:t>
      </w:r>
    </w:p>
    <w:p w14:paraId="6CA07E23">
      <w:pPr>
        <w:adjustRightInd w:val="0"/>
        <w:snapToGrid w:val="0"/>
        <w:spacing w:line="360" w:lineRule="auto"/>
        <w:ind w:firstLine="422" w:firstLineChars="200"/>
        <w:rPr>
          <w:rFonts w:hint="eastAsia" w:ascii="宋体" w:hAnsi="宋体" w:eastAsia="宋体" w:cs="宋体"/>
          <w:b/>
          <w:color w:val="auto"/>
          <w:sz w:val="21"/>
          <w:szCs w:val="21"/>
        </w:rPr>
      </w:pPr>
      <w:r>
        <w:rPr>
          <w:rFonts w:hint="eastAsia" w:ascii="宋体" w:hAnsi="宋体" w:eastAsia="宋体" w:cs="宋体"/>
          <w:b/>
          <w:color w:val="auto"/>
          <w:sz w:val="21"/>
          <w:szCs w:val="21"/>
        </w:rPr>
        <w:t>十</w:t>
      </w:r>
      <w:r>
        <w:rPr>
          <w:rFonts w:hint="eastAsia" w:ascii="宋体" w:hAnsi="宋体" w:eastAsia="宋体" w:cs="宋体"/>
          <w:b/>
          <w:color w:val="auto"/>
          <w:sz w:val="21"/>
          <w:szCs w:val="21"/>
          <w:lang w:eastAsia="zh-CN"/>
        </w:rPr>
        <w:t>三</w:t>
      </w:r>
      <w:r>
        <w:rPr>
          <w:rFonts w:hint="eastAsia" w:ascii="宋体" w:hAnsi="宋体" w:eastAsia="宋体" w:cs="宋体"/>
          <w:b/>
          <w:color w:val="auto"/>
          <w:sz w:val="21"/>
          <w:szCs w:val="21"/>
        </w:rPr>
        <w:t>、合同生效</w:t>
      </w:r>
    </w:p>
    <w:p w14:paraId="3E7BF32B">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 合同双方签订后生效。</w:t>
      </w:r>
    </w:p>
    <w:p w14:paraId="6460B5A3">
      <w:pPr>
        <w:adjustRightInd w:val="0"/>
        <w:snapToGrid w:val="0"/>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 本合同一式</w:t>
      </w:r>
      <w:r>
        <w:rPr>
          <w:rFonts w:hint="eastAsia" w:ascii="宋体" w:hAnsi="宋体" w:eastAsia="宋体" w:cs="宋体"/>
          <w:color w:val="auto"/>
          <w:sz w:val="21"/>
          <w:szCs w:val="21"/>
          <w:lang w:val="en-US" w:eastAsia="zh-CN"/>
        </w:rPr>
        <w:t>四</w:t>
      </w:r>
      <w:r>
        <w:rPr>
          <w:rFonts w:hint="eastAsia" w:ascii="宋体" w:hAnsi="宋体" w:eastAsia="宋体" w:cs="宋体"/>
          <w:color w:val="auto"/>
          <w:sz w:val="21"/>
          <w:szCs w:val="21"/>
        </w:rPr>
        <w:t>份，甲、乙双方各执两份。</w:t>
      </w:r>
    </w:p>
    <w:p w14:paraId="2E887190">
      <w:pPr>
        <w:widowControl w:val="0"/>
        <w:spacing w:line="480" w:lineRule="auto"/>
        <w:ind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甲方（盖章）                                  乙方（盖章）</w:t>
      </w:r>
    </w:p>
    <w:p w14:paraId="0009CB59">
      <w:pPr>
        <w:widowControl w:val="0"/>
        <w:spacing w:line="480" w:lineRule="auto"/>
        <w:ind w:firstLine="420" w:firstLineChars="200"/>
        <w:jc w:val="both"/>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法定代表人或授权人：                          法定代表人或授权人：</w:t>
      </w:r>
    </w:p>
    <w:p w14:paraId="2AD66489">
      <w:pPr>
        <w:widowControl w:val="0"/>
        <w:spacing w:line="480" w:lineRule="auto"/>
        <w:ind w:firstLine="420" w:firstLineChars="200"/>
        <w:jc w:val="both"/>
        <w:rPr>
          <w:rFonts w:hint="eastAsia" w:ascii="Calibri" w:hAnsi="Calibri" w:eastAsia="宋体" w:cs="Times New Roman"/>
          <w:lang w:val="en-US" w:eastAsia="zh-CN"/>
        </w:rPr>
      </w:pPr>
      <w:r>
        <w:rPr>
          <w:rFonts w:hint="eastAsia" w:ascii="宋体" w:hAnsi="宋体" w:eastAsia="宋体" w:cs="宋体"/>
          <w:color w:val="auto"/>
          <w:kern w:val="2"/>
          <w:sz w:val="21"/>
          <w:szCs w:val="21"/>
          <w:lang w:val="en-US" w:eastAsia="zh-CN" w:bidi="ar-SA"/>
        </w:rPr>
        <w:t>日期：                                        日期：</w:t>
      </w:r>
    </w:p>
    <w:p w14:paraId="018772B2">
      <w:pPr>
        <w:numPr>
          <w:ilvl w:val="0"/>
          <w:numId w:val="0"/>
        </w:numPr>
        <w:spacing w:line="52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五、履约验收标准和方法</w:t>
      </w:r>
    </w:p>
    <w:p w14:paraId="7BF09798">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1、履约验收时间：竣工后。</w:t>
      </w:r>
    </w:p>
    <w:p w14:paraId="4D127F28">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2、履约验收内容：府谷县第一中学校园维修改造项目。</w:t>
      </w:r>
    </w:p>
    <w:p w14:paraId="002FB22B">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3、验收方式：由采购单位组织有关专业人员按相关的国家标准、质量标准和采购文件所列的各项要求进行验收。</w:t>
      </w:r>
    </w:p>
    <w:p w14:paraId="7B06733A">
      <w:pPr>
        <w:numPr>
          <w:ilvl w:val="0"/>
          <w:numId w:val="0"/>
        </w:numPr>
        <w:spacing w:line="52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六、对供应商的要求</w:t>
      </w:r>
    </w:p>
    <w:p w14:paraId="4089FC92">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1、在中华人民共和国境内注册的，具有独立法人资格的供应商；</w:t>
      </w:r>
    </w:p>
    <w:p w14:paraId="0ECFFA43">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2、具有良好的商业信誉和健全的财务会计</w:t>
      </w:r>
    </w:p>
    <w:p w14:paraId="0FE85F73">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3、具有履行合同所必须的设备和专业技术能力；</w:t>
      </w:r>
    </w:p>
    <w:p w14:paraId="78DCD5A7">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4、有依法缴纳税收和社会保障资金的良好记录；</w:t>
      </w:r>
    </w:p>
    <w:p w14:paraId="66DE3555">
      <w:pPr>
        <w:numPr>
          <w:ilvl w:val="0"/>
          <w:numId w:val="0"/>
        </w:numPr>
        <w:spacing w:line="52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5、参加本项政府采购活动前三年内，在经营活动中没有重大违法记录。</w:t>
      </w:r>
    </w:p>
    <w:p w14:paraId="012D7698">
      <w:pPr>
        <w:numPr>
          <w:ilvl w:val="0"/>
          <w:numId w:val="0"/>
        </w:numPr>
        <w:spacing w:line="520" w:lineRule="exact"/>
        <w:rPr>
          <w:rFonts w:hint="eastAsia" w:ascii="宋体" w:hAnsi="宋体" w:eastAsia="宋体" w:cs="宋体"/>
          <w:sz w:val="24"/>
          <w:szCs w:val="24"/>
        </w:rPr>
      </w:pPr>
      <w:r>
        <w:rPr>
          <w:rFonts w:hint="eastAsia" w:ascii="宋体" w:hAnsi="宋体" w:eastAsia="宋体" w:cs="宋体"/>
          <w:b/>
          <w:bCs/>
          <w:sz w:val="28"/>
          <w:szCs w:val="28"/>
          <w:lang w:val="en-US" w:eastAsia="zh-CN"/>
        </w:rPr>
        <w:t>七、付款方式</w:t>
      </w:r>
      <w:r>
        <w:rPr>
          <w:rFonts w:hint="eastAsia" w:ascii="宋体" w:hAnsi="宋体" w:eastAsia="宋体" w:cs="宋体"/>
          <w:sz w:val="28"/>
          <w:szCs w:val="28"/>
          <w:lang w:val="en-US" w:eastAsia="zh-CN"/>
        </w:rPr>
        <w:t>：合同签订后，支付本项目总造价的 40%；项目验收合格后，付清剩余款项。</w:t>
      </w:r>
    </w:p>
    <w:p w14:paraId="7F7EE9D0">
      <w:pPr>
        <w:numPr>
          <w:ilvl w:val="0"/>
          <w:numId w:val="0"/>
        </w:numPr>
        <w:spacing w:line="52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八、采购单位、采购单位地址、项目联系人及联系电话</w:t>
      </w:r>
    </w:p>
    <w:p w14:paraId="7B900AF4">
      <w:pPr>
        <w:numPr>
          <w:ilvl w:val="0"/>
          <w:numId w:val="0"/>
        </w:numPr>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1、采购单位：府谷县老高川镇学区</w:t>
      </w:r>
    </w:p>
    <w:p w14:paraId="068645CE">
      <w:pPr>
        <w:numPr>
          <w:ilvl w:val="0"/>
          <w:numId w:val="0"/>
        </w:numPr>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lang w:val="en-US" w:eastAsia="zh-CN"/>
        </w:rPr>
        <w:t>2、采购单位地址：</w:t>
      </w:r>
      <w:r>
        <w:rPr>
          <w:rFonts w:hint="eastAsia" w:ascii="宋体" w:hAnsi="宋体" w:eastAsia="宋体" w:cs="宋体"/>
          <w:sz w:val="28"/>
          <w:szCs w:val="28"/>
          <w:highlight w:val="none"/>
          <w:lang w:val="en-US" w:eastAsia="zh-CN"/>
        </w:rPr>
        <w:t>府谷县老高川镇</w:t>
      </w:r>
    </w:p>
    <w:p w14:paraId="3412ED70">
      <w:pPr>
        <w:numPr>
          <w:ilvl w:val="0"/>
          <w:numId w:val="0"/>
        </w:numPr>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3、项目联系人：老高川学校经办  联系电话：0912-8723530</w:t>
      </w:r>
    </w:p>
    <w:p w14:paraId="677AB54F">
      <w:pPr>
        <w:numPr>
          <w:ilvl w:val="0"/>
          <w:numId w:val="0"/>
        </w:numPr>
        <w:spacing w:line="520" w:lineRule="exact"/>
        <w:rPr>
          <w:rFonts w:hint="eastAsia" w:ascii="宋体" w:hAnsi="宋体" w:eastAsia="宋体" w:cs="宋体"/>
          <w:sz w:val="28"/>
          <w:szCs w:val="28"/>
          <w:lang w:val="en-US" w:eastAsia="zh-CN"/>
        </w:rPr>
      </w:pPr>
    </w:p>
    <w:p w14:paraId="1259B26D">
      <w:pPr>
        <w:tabs>
          <w:tab w:val="left" w:pos="756"/>
        </w:tabs>
        <w:bidi w:val="0"/>
        <w:ind w:firstLine="4760" w:firstLineChars="170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府谷县老高川镇学区</w:t>
      </w:r>
    </w:p>
    <w:p w14:paraId="0DF508BC">
      <w:pPr>
        <w:tabs>
          <w:tab w:val="left" w:pos="756"/>
        </w:tabs>
        <w:bidi w:val="0"/>
        <w:ind w:firstLine="4760" w:firstLineChars="170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2026年9月22日</w:t>
      </w:r>
    </w:p>
    <w:p w14:paraId="75D1E2E8">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206C91"/>
    <w:multiLevelType w:val="singleLevel"/>
    <w:tmpl w:val="0E206C9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JmOWRlMjA1MDMwZTYyZTE0ZmE0ZmM2YjQyODFjN2IifQ=="/>
  </w:docVars>
  <w:rsids>
    <w:rsidRoot w:val="6D293A61"/>
    <w:rsid w:val="02150900"/>
    <w:rsid w:val="021567B6"/>
    <w:rsid w:val="02E701E5"/>
    <w:rsid w:val="035C7DC5"/>
    <w:rsid w:val="03EE5241"/>
    <w:rsid w:val="04891EC9"/>
    <w:rsid w:val="05020D21"/>
    <w:rsid w:val="056E4D31"/>
    <w:rsid w:val="06AA6817"/>
    <w:rsid w:val="091A7247"/>
    <w:rsid w:val="0A1F258D"/>
    <w:rsid w:val="0B1B5D13"/>
    <w:rsid w:val="0B291CB1"/>
    <w:rsid w:val="0B694F8E"/>
    <w:rsid w:val="0B9677F4"/>
    <w:rsid w:val="0B9F1F51"/>
    <w:rsid w:val="0D011DF5"/>
    <w:rsid w:val="0D7E053E"/>
    <w:rsid w:val="0DDF603D"/>
    <w:rsid w:val="0E4C5FA5"/>
    <w:rsid w:val="0E63372C"/>
    <w:rsid w:val="0EBA5242"/>
    <w:rsid w:val="0F4A51D9"/>
    <w:rsid w:val="0F6A74F5"/>
    <w:rsid w:val="0F705601"/>
    <w:rsid w:val="0F7D0A00"/>
    <w:rsid w:val="0FB762C7"/>
    <w:rsid w:val="0FD10D8B"/>
    <w:rsid w:val="10D7735B"/>
    <w:rsid w:val="11FF5DCA"/>
    <w:rsid w:val="12F20B4C"/>
    <w:rsid w:val="146B0398"/>
    <w:rsid w:val="15E5569B"/>
    <w:rsid w:val="160C2CF4"/>
    <w:rsid w:val="16580FAE"/>
    <w:rsid w:val="168E5AC2"/>
    <w:rsid w:val="175164C8"/>
    <w:rsid w:val="17A01677"/>
    <w:rsid w:val="17BB252E"/>
    <w:rsid w:val="19BB6FF4"/>
    <w:rsid w:val="19DD6A90"/>
    <w:rsid w:val="1A064A9A"/>
    <w:rsid w:val="1A2B0CC0"/>
    <w:rsid w:val="1AEF2524"/>
    <w:rsid w:val="1C1277E8"/>
    <w:rsid w:val="1D1C5FB5"/>
    <w:rsid w:val="1DAE5FE2"/>
    <w:rsid w:val="1E601612"/>
    <w:rsid w:val="1F023622"/>
    <w:rsid w:val="1F7434A9"/>
    <w:rsid w:val="1FE67C12"/>
    <w:rsid w:val="2079462F"/>
    <w:rsid w:val="22C850E1"/>
    <w:rsid w:val="233E3A5E"/>
    <w:rsid w:val="24D9609E"/>
    <w:rsid w:val="24FF3CA0"/>
    <w:rsid w:val="251B1400"/>
    <w:rsid w:val="25A0258F"/>
    <w:rsid w:val="260D21E3"/>
    <w:rsid w:val="26237072"/>
    <w:rsid w:val="27031B7A"/>
    <w:rsid w:val="28190F1B"/>
    <w:rsid w:val="2AB265AD"/>
    <w:rsid w:val="2CE54B3C"/>
    <w:rsid w:val="2ED52C5C"/>
    <w:rsid w:val="2F5F2176"/>
    <w:rsid w:val="2FBE7820"/>
    <w:rsid w:val="2FD129D3"/>
    <w:rsid w:val="2FEF11A2"/>
    <w:rsid w:val="308841CF"/>
    <w:rsid w:val="30CB651A"/>
    <w:rsid w:val="312950B5"/>
    <w:rsid w:val="3191286D"/>
    <w:rsid w:val="31CB38F7"/>
    <w:rsid w:val="346D1CC9"/>
    <w:rsid w:val="347A51A8"/>
    <w:rsid w:val="37575B81"/>
    <w:rsid w:val="37672981"/>
    <w:rsid w:val="389819DF"/>
    <w:rsid w:val="389F03DA"/>
    <w:rsid w:val="38D81FCA"/>
    <w:rsid w:val="39225214"/>
    <w:rsid w:val="398134B5"/>
    <w:rsid w:val="39CF0A7B"/>
    <w:rsid w:val="3AE014B9"/>
    <w:rsid w:val="3AE17937"/>
    <w:rsid w:val="3C35150D"/>
    <w:rsid w:val="3C6D323F"/>
    <w:rsid w:val="3CDA5D52"/>
    <w:rsid w:val="3CF10E31"/>
    <w:rsid w:val="3F7322D9"/>
    <w:rsid w:val="402934E6"/>
    <w:rsid w:val="40CB1F1F"/>
    <w:rsid w:val="42CD5D69"/>
    <w:rsid w:val="435D3296"/>
    <w:rsid w:val="44636ED1"/>
    <w:rsid w:val="464E3658"/>
    <w:rsid w:val="472B3196"/>
    <w:rsid w:val="47893A35"/>
    <w:rsid w:val="480E5F31"/>
    <w:rsid w:val="48AD243B"/>
    <w:rsid w:val="48B65ED8"/>
    <w:rsid w:val="48E4706B"/>
    <w:rsid w:val="49336095"/>
    <w:rsid w:val="49B70DCB"/>
    <w:rsid w:val="49B77198"/>
    <w:rsid w:val="4B602ABF"/>
    <w:rsid w:val="4B622749"/>
    <w:rsid w:val="4C1E3065"/>
    <w:rsid w:val="4CBD3142"/>
    <w:rsid w:val="4CFBDFFC"/>
    <w:rsid w:val="4D57165C"/>
    <w:rsid w:val="4D583832"/>
    <w:rsid w:val="4D9839E9"/>
    <w:rsid w:val="4DED3B75"/>
    <w:rsid w:val="4E3E4444"/>
    <w:rsid w:val="4EA070C7"/>
    <w:rsid w:val="4EA46867"/>
    <w:rsid w:val="4EFA01C3"/>
    <w:rsid w:val="50350E3F"/>
    <w:rsid w:val="50386E89"/>
    <w:rsid w:val="50925BB1"/>
    <w:rsid w:val="51722606"/>
    <w:rsid w:val="51EF15F7"/>
    <w:rsid w:val="521859A6"/>
    <w:rsid w:val="52453DD0"/>
    <w:rsid w:val="534A164E"/>
    <w:rsid w:val="544611A1"/>
    <w:rsid w:val="547F2700"/>
    <w:rsid w:val="553C1C90"/>
    <w:rsid w:val="553E01D6"/>
    <w:rsid w:val="56F70356"/>
    <w:rsid w:val="5850178A"/>
    <w:rsid w:val="5936020D"/>
    <w:rsid w:val="5A392292"/>
    <w:rsid w:val="5C5D5F86"/>
    <w:rsid w:val="5E8D4712"/>
    <w:rsid w:val="5EC70C35"/>
    <w:rsid w:val="5F057221"/>
    <w:rsid w:val="5FA73FF3"/>
    <w:rsid w:val="601B4BB4"/>
    <w:rsid w:val="61123C94"/>
    <w:rsid w:val="61425EEE"/>
    <w:rsid w:val="62D36036"/>
    <w:rsid w:val="63324A28"/>
    <w:rsid w:val="639B5FC7"/>
    <w:rsid w:val="63BB4F46"/>
    <w:rsid w:val="63EB5316"/>
    <w:rsid w:val="63F74039"/>
    <w:rsid w:val="64EC2565"/>
    <w:rsid w:val="65250085"/>
    <w:rsid w:val="65A44962"/>
    <w:rsid w:val="65AF04E7"/>
    <w:rsid w:val="66430794"/>
    <w:rsid w:val="66A23715"/>
    <w:rsid w:val="670F53C5"/>
    <w:rsid w:val="673E50BB"/>
    <w:rsid w:val="693359DD"/>
    <w:rsid w:val="696F37E2"/>
    <w:rsid w:val="6B2258D0"/>
    <w:rsid w:val="6BAF7A2A"/>
    <w:rsid w:val="6BF11741"/>
    <w:rsid w:val="6CA82C18"/>
    <w:rsid w:val="6D293A61"/>
    <w:rsid w:val="6D3C2F2C"/>
    <w:rsid w:val="6D915303"/>
    <w:rsid w:val="6F2204B9"/>
    <w:rsid w:val="708729D8"/>
    <w:rsid w:val="70BE713C"/>
    <w:rsid w:val="710B7D01"/>
    <w:rsid w:val="734133AD"/>
    <w:rsid w:val="73557B31"/>
    <w:rsid w:val="73802634"/>
    <w:rsid w:val="73E84ABE"/>
    <w:rsid w:val="73F46EA0"/>
    <w:rsid w:val="75106F97"/>
    <w:rsid w:val="760675A6"/>
    <w:rsid w:val="7643068F"/>
    <w:rsid w:val="778A07DB"/>
    <w:rsid w:val="779D9F63"/>
    <w:rsid w:val="77A559DC"/>
    <w:rsid w:val="77F12035"/>
    <w:rsid w:val="77F7952A"/>
    <w:rsid w:val="77FD422C"/>
    <w:rsid w:val="7893321C"/>
    <w:rsid w:val="78D62DBA"/>
    <w:rsid w:val="7B6332A2"/>
    <w:rsid w:val="7BA534F1"/>
    <w:rsid w:val="7C42784C"/>
    <w:rsid w:val="7C665456"/>
    <w:rsid w:val="7D5A710E"/>
    <w:rsid w:val="7E9C7DBC"/>
    <w:rsid w:val="7F551C6E"/>
    <w:rsid w:val="B7F66D76"/>
    <w:rsid w:val="D0FFBB3F"/>
    <w:rsid w:val="DB1F6281"/>
    <w:rsid w:val="DFDFCC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3"/>
    <w:basedOn w:val="1"/>
    <w:next w:val="1"/>
    <w:qFormat/>
    <w:uiPriority w:val="0"/>
    <w:pPr>
      <w:keepNext/>
      <w:keepLines/>
      <w:spacing w:line="360" w:lineRule="auto"/>
      <w:outlineLvl w:val="2"/>
    </w:pPr>
    <w:rPr>
      <w:rFonts w:eastAsia="宋体"/>
      <w:b/>
      <w:bCs/>
      <w:sz w:val="24"/>
      <w:szCs w:val="32"/>
    </w:rPr>
  </w:style>
  <w:style w:type="paragraph" w:styleId="2">
    <w:name w:val="heading 4"/>
    <w:basedOn w:val="1"/>
    <w:next w:val="1"/>
    <w:qFormat/>
    <w:uiPriority w:val="0"/>
    <w:pPr>
      <w:keepNext/>
      <w:keepLines/>
      <w:spacing w:line="360" w:lineRule="auto"/>
      <w:outlineLvl w:val="3"/>
    </w:pPr>
    <w:rPr>
      <w:rFonts w:ascii="Arial" w:hAnsi="Arial" w:eastAsia="宋体"/>
      <w:b/>
      <w:bCs/>
      <w:sz w:val="21"/>
      <w:szCs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next w:val="1"/>
    <w:qFormat/>
    <w:uiPriority w:val="0"/>
    <w:pPr>
      <w:spacing w:after="120" w:afterLines="0"/>
    </w:pPr>
    <w:rPr>
      <w:rFonts w:eastAsia="宋体"/>
      <w:kern w:val="2"/>
      <w:sz w:val="21"/>
      <w:szCs w:val="24"/>
      <w:lang w:val="en-US" w:eastAsia="zh-CN" w:bidi="ar-SA"/>
    </w:rPr>
  </w:style>
  <w:style w:type="paragraph" w:styleId="5">
    <w:name w:val="toc 1"/>
    <w:basedOn w:val="1"/>
    <w:next w:val="1"/>
    <w:qFormat/>
    <w:uiPriority w:val="39"/>
    <w:rPr>
      <w:szCs w:val="20"/>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9">
    <w:name w:val="正文缩进1"/>
    <w:basedOn w:val="1"/>
    <w:qFormat/>
    <w:uiPriority w:val="0"/>
    <w:pPr>
      <w:ind w:firstLine="420" w:firstLineChars="200"/>
    </w:pPr>
  </w:style>
  <w:style w:type="character" w:customStyle="1" w:styleId="10">
    <w:name w:val="NormalCharacter"/>
    <w:link w:val="11"/>
    <w:qFormat/>
    <w:uiPriority w:val="0"/>
  </w:style>
  <w:style w:type="paragraph" w:customStyle="1" w:styleId="11">
    <w:name w:val="UserStyle_34"/>
    <w:basedOn w:val="1"/>
    <w:link w:val="10"/>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1785</Words>
  <Characters>1833</Characters>
  <Lines>0</Lines>
  <Paragraphs>0</Paragraphs>
  <TotalTime>11</TotalTime>
  <ScaleCrop>false</ScaleCrop>
  <LinksUpToDate>false</LinksUpToDate>
  <CharactersWithSpaces>2146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2021-07-25T17:06:00Z</dcterms:created>
  <dc:creator>温柔一刀</dc:creator>
  <cp:lastModifiedBy>浅醉</cp:lastModifiedBy>
  <dcterms:modified xsi:type="dcterms:W3CDTF">2026-09-27T11:42:13Z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D2B494E7C47941758860EBA3E901122D_13</vt:lpwstr>
  </property>
  <property fmtid="{D5CDD505-2E9C-101B-9397-08002B2CF9AE}" pid="4" name="KSOTemplateDocerSaveRecord">
    <vt:lpwstr>eyJoZGlkIjoiMzdmZWU0NTUwM2NjZjk5ZDE3NjYzMmIyMmU1NWJhZjkiLCJ1c2VySWQiOiI0MDk2MDc0OTEifQ==</vt:lpwstr>
  </property>
</Properties>
</file>