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版本号：ZCTH2026-06-06020260614001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留坝县8字环线绿化提升项目苗木采购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ZCTH2026-06-060</w:t>
      </w:r>
      <w:r>
        <w:br/>
      </w:r>
      <w:r>
        <w:br/>
      </w:r>
      <w:r>
        <w:br/>
      </w:r>
    </w:p>
    <w:p>
      <w:pPr>
        <w:pStyle w:val="null3"/>
        <w:jc w:val="center"/>
        <w:outlineLvl w:val="2"/>
      </w:pPr>
      <w:r>
        <w:rPr>
          <w:rFonts w:ascii="仿宋_GB2312" w:hAnsi="仿宋_GB2312" w:cs="仿宋_GB2312" w:eastAsia="仿宋_GB2312"/>
          <w:sz w:val="28"/>
          <w:b/>
        </w:rPr>
        <w:t>留坝县林业局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留坝县林业局</w:t>
      </w:r>
      <w:r>
        <w:rPr>
          <w:rFonts w:ascii="仿宋_GB2312" w:hAnsi="仿宋_GB2312" w:cs="仿宋_GB2312" w:eastAsia="仿宋_GB2312"/>
        </w:rPr>
        <w:t>委托，拟对</w:t>
      </w:r>
      <w:r>
        <w:rPr>
          <w:rFonts w:ascii="仿宋_GB2312" w:hAnsi="仿宋_GB2312" w:cs="仿宋_GB2312" w:eastAsia="仿宋_GB2312"/>
        </w:rPr>
        <w:t>留坝县8字环线绿化提升项目苗木采购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ZCTH2026-06-060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留坝县8字环线绿化提升项目苗木采购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留坝县8字环线绿化提升项目苗木采购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采购包1（留坝县8字环线绿化提升项目苗木采购）：属于专门面向中小企业采购。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2、企业资质：供应商须具备《林草种子生产经营许可证》或《林木种子生产（经营）许可证》，且在有效期内。</w:t>
      </w:r>
    </w:p>
    <w:p>
      <w:pPr>
        <w:pStyle w:val="null3"/>
      </w:pPr>
      <w:r>
        <w:rPr>
          <w:rFonts w:ascii="仿宋_GB2312" w:hAnsi="仿宋_GB2312" w:cs="仿宋_GB2312" w:eastAsia="仿宋_GB2312"/>
        </w:rPr>
        <w:t>3、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p>
      <w:pPr>
        <w:pStyle w:val="null3"/>
      </w:pPr>
      <w:r>
        <w:rPr>
          <w:rFonts w:ascii="仿宋_GB2312" w:hAnsi="仿宋_GB2312" w:cs="仿宋_GB2312" w:eastAsia="仿宋_GB2312"/>
        </w:rPr>
        <w:t>4、非联合体磋商：本项目不接受联合体磋商。 注：以响应文件中提供的非联合体磋商的声明为准。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13572607415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采购包1：664,900.00元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规定的服务类标准收取。由成交供应商在领取成交通知书之前一次性向采购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留坝县林业局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一、采购人应在成交通知书发出之日起二十五日内与成交供应商签订采购合同。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留坝县8字环线绿化提升项目苗木采购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664,900.00</w:t>
      </w:r>
    </w:p>
    <w:p>
      <w:pPr>
        <w:pStyle w:val="null3"/>
      </w:pPr>
      <w:r>
        <w:rPr>
          <w:rFonts w:ascii="仿宋_GB2312" w:hAnsi="仿宋_GB2312" w:cs="仿宋_GB2312" w:eastAsia="仿宋_GB2312"/>
        </w:rPr>
        <w:t>采购包最高限价（元）: 664,900.00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苗木采购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664,900.00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标的名称：苗木采购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color w:val="0000FF"/>
              </w:rPr>
              <w:t>一、</w:t>
            </w:r>
            <w:r>
              <w:rPr>
                <w:rFonts w:ascii="仿宋_GB2312" w:hAnsi="仿宋_GB2312" w:cs="仿宋_GB2312" w:eastAsia="仿宋_GB2312"/>
                <w:sz w:val="20"/>
                <w:b/>
                <w:color w:val="0000FF"/>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种类</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规格</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数量（株）</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火晶柿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5-6年嫁接苗，胸径≥5厘米，土球直径≥35厘米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1870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火晶柿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8-10年嫁接苗，胸径≥10厘米，土球直径≥45厘米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132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斑竹</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胸径</w:t>
                  </w:r>
                  <w:r>
                    <w:rPr>
                      <w:rFonts w:ascii="仿宋_GB2312" w:hAnsi="仿宋_GB2312" w:cs="仿宋_GB2312" w:eastAsia="仿宋_GB2312"/>
                      <w:sz w:val="20"/>
                      <w:color w:val="0000FF"/>
                    </w:rPr>
                    <w:t>≥2厘米，苗高≥2米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7900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水竹</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胸径</w:t>
                  </w:r>
                  <w:r>
                    <w:rPr>
                      <w:rFonts w:ascii="仿宋_GB2312" w:hAnsi="仿宋_GB2312" w:cs="仿宋_GB2312" w:eastAsia="仿宋_GB2312"/>
                      <w:sz w:val="20"/>
                      <w:color w:val="0000FF"/>
                    </w:rPr>
                    <w:t>≥2厘米，苗高≥2米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17600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雷竹</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胸径</w:t>
                  </w:r>
                  <w:r>
                    <w:rPr>
                      <w:rFonts w:ascii="仿宋_GB2312" w:hAnsi="仿宋_GB2312" w:cs="仿宋_GB2312" w:eastAsia="仿宋_GB2312"/>
                      <w:sz w:val="20"/>
                      <w:color w:val="0000FF"/>
                    </w:rPr>
                    <w:t>≥2厘米，苗高≥2米</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FF"/>
                    </w:rPr>
                    <w:t>7000</w:t>
                  </w:r>
                </w:p>
              </w:tc>
            </w:tr>
          </w:tbl>
          <w:p>
            <w:pPr>
              <w:pStyle w:val="null3"/>
              <w:jc w:val="both"/>
            </w:pPr>
            <w:r>
              <w:rPr>
                <w:rFonts w:ascii="仿宋_GB2312" w:hAnsi="仿宋_GB2312" w:cs="仿宋_GB2312" w:eastAsia="仿宋_GB2312"/>
                <w:sz w:val="20"/>
                <w:color w:val="0000FF"/>
              </w:rPr>
              <w:t>苗木标准：所有造林苗木必须符合国家二级及以上苗木标准。要求苗木来源清楚，</w:t>
            </w:r>
            <w:r>
              <w:rPr>
                <w:rFonts w:ascii="仿宋_GB2312" w:hAnsi="仿宋_GB2312" w:cs="仿宋_GB2312" w:eastAsia="仿宋_GB2312"/>
                <w:sz w:val="20"/>
                <w:color w:val="0000FF"/>
              </w:rPr>
              <w:t>“两证一签”齐全。所有苗木均需主根发达，侧根和须根数量</w:t>
            </w:r>
            <w:r>
              <w:rPr>
                <w:rFonts w:ascii="仿宋_GB2312" w:hAnsi="仿宋_GB2312" w:cs="仿宋_GB2312" w:eastAsia="仿宋_GB2312"/>
                <w:sz w:val="20"/>
                <w:color w:val="0000FF"/>
              </w:rPr>
              <w:t>多，分布均匀，芽体饱满，充分木质化。无病虫危害。其中火晶柿苗木选择带土球。</w:t>
            </w:r>
          </w:p>
          <w:p>
            <w:pPr>
              <w:pStyle w:val="null3"/>
              <w:jc w:val="both"/>
            </w:pPr>
            <w:r>
              <w:rPr>
                <w:rFonts w:ascii="仿宋_GB2312" w:hAnsi="仿宋_GB2312" w:cs="仿宋_GB2312" w:eastAsia="仿宋_GB2312"/>
                <w:sz w:val="20"/>
                <w:b/>
                <w:color w:val="0000FF"/>
              </w:rPr>
              <w:t>二、</w:t>
            </w:r>
            <w:r>
              <w:rPr>
                <w:rFonts w:ascii="仿宋_GB2312" w:hAnsi="仿宋_GB2312" w:cs="仿宋_GB2312" w:eastAsia="仿宋_GB2312"/>
                <w:sz w:val="20"/>
                <w:b/>
                <w:color w:val="0000FF"/>
              </w:rPr>
              <w:t>交货期</w:t>
            </w:r>
          </w:p>
          <w:p>
            <w:pPr>
              <w:pStyle w:val="null3"/>
              <w:jc w:val="both"/>
            </w:pPr>
            <w:r>
              <w:rPr>
                <w:rFonts w:ascii="仿宋_GB2312" w:hAnsi="仿宋_GB2312" w:cs="仿宋_GB2312" w:eastAsia="仿宋_GB2312"/>
                <w:sz w:val="20"/>
                <w:color w:val="0000FF"/>
              </w:rPr>
              <w:t>合同签订后</w:t>
            </w:r>
            <w:r>
              <w:rPr>
                <w:rFonts w:ascii="仿宋_GB2312" w:hAnsi="仿宋_GB2312" w:cs="仿宋_GB2312" w:eastAsia="仿宋_GB2312"/>
                <w:sz w:val="20"/>
                <w:color w:val="0000FF"/>
              </w:rPr>
              <w:t>7个工作日内。</w:t>
            </w:r>
            <w:r>
              <w:br/>
            </w:r>
            <w:r>
              <w:rPr>
                <w:rFonts w:ascii="仿宋_GB2312" w:hAnsi="仿宋_GB2312" w:cs="仿宋_GB2312" w:eastAsia="仿宋_GB2312"/>
                <w:sz w:val="20"/>
                <w:b/>
                <w:color w:val="0000FF"/>
              </w:rPr>
              <w:t>三</w:t>
            </w:r>
            <w:r>
              <w:rPr>
                <w:rFonts w:ascii="仿宋_GB2312" w:hAnsi="仿宋_GB2312" w:cs="仿宋_GB2312" w:eastAsia="仿宋_GB2312"/>
                <w:sz w:val="20"/>
                <w:b/>
                <w:color w:val="0000FF"/>
              </w:rPr>
              <w:t>、质量标准</w:t>
            </w:r>
            <w:r>
              <w:br/>
            </w:r>
            <w:r>
              <w:rPr>
                <w:rFonts w:ascii="仿宋_GB2312" w:hAnsi="仿宋_GB2312" w:cs="仿宋_GB2312" w:eastAsia="仿宋_GB2312"/>
                <w:sz w:val="20"/>
                <w:color w:val="0000FF"/>
              </w:rPr>
              <w:t>符合国家、省、市及行业标准要求</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b/>
                <w:color w:val="0000FF"/>
              </w:rPr>
              <w:t>四、交货地点</w:t>
            </w:r>
          </w:p>
          <w:p>
            <w:pPr>
              <w:pStyle w:val="null3"/>
            </w:pPr>
            <w:r>
              <w:rPr>
                <w:rFonts w:ascii="仿宋_GB2312" w:hAnsi="仿宋_GB2312" w:cs="仿宋_GB2312" w:eastAsia="仿宋_GB2312"/>
                <w:sz w:val="20"/>
                <w:color w:val="0000FF"/>
              </w:rPr>
              <w:t>陕西省汉中市留坝县采购人指定地点</w:t>
            </w:r>
          </w:p>
          <w:p>
            <w:pPr>
              <w:pStyle w:val="null3"/>
            </w:pPr>
            <w:r>
              <w:rPr>
                <w:rFonts w:ascii="仿宋_GB2312" w:hAnsi="仿宋_GB2312" w:cs="仿宋_GB2312" w:eastAsia="仿宋_GB2312"/>
                <w:sz w:val="20"/>
                <w:b/>
                <w:color w:val="0000FF"/>
              </w:rPr>
              <w:t>五、</w:t>
            </w:r>
            <w:r>
              <w:rPr>
                <w:rFonts w:ascii="仿宋_GB2312" w:hAnsi="仿宋_GB2312" w:cs="仿宋_GB2312" w:eastAsia="仿宋_GB2312"/>
                <w:sz w:val="20"/>
                <w:b/>
                <w:color w:val="0000FF"/>
              </w:rPr>
              <w:t>合同支付</w:t>
            </w:r>
            <w:r>
              <w:br/>
            </w:r>
            <w:r>
              <w:rPr>
                <w:rFonts w:ascii="仿宋_GB2312" w:hAnsi="仿宋_GB2312" w:cs="仿宋_GB2312" w:eastAsia="仿宋_GB2312"/>
                <w:sz w:val="20"/>
                <w:color w:val="0000FF"/>
              </w:rPr>
              <w:t>采购包</w:t>
            </w:r>
            <w:r>
              <w:rPr>
                <w:rFonts w:ascii="仿宋_GB2312" w:hAnsi="仿宋_GB2312" w:cs="仿宋_GB2312" w:eastAsia="仿宋_GB2312"/>
                <w:sz w:val="20"/>
                <w:color w:val="0000FF"/>
              </w:rPr>
              <w:t>1：采用固定总价合同。 付</w:t>
            </w:r>
            <w:r>
              <w:rPr>
                <w:rFonts w:ascii="仿宋_GB2312" w:hAnsi="仿宋_GB2312" w:cs="仿宋_GB2312" w:eastAsia="仿宋_GB2312"/>
                <w:sz w:val="20"/>
                <w:color w:val="0000FF"/>
              </w:rPr>
              <w:t>款条件说明：合同签订后，甲方向乙方支付合同总金额的</w:t>
            </w:r>
            <w:r>
              <w:rPr>
                <w:rFonts w:ascii="仿宋_GB2312" w:hAnsi="仿宋_GB2312" w:cs="仿宋_GB2312" w:eastAsia="仿宋_GB2312"/>
                <w:sz w:val="20"/>
                <w:color w:val="0000FF"/>
              </w:rPr>
              <w:t>40%。全部货物按照要求验收合格后支付合同总金额的60%。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合同签订后7个工作日内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陕西省汉中市留坝县采购人指定地点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进度款，全部货物按照要求验收合格后，达到付款条件起5个工作日内，支付合同总金额的60.0%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因履行本合同引起的或与本合同有关的争议，甲乙双方应首先通过友好协商解决，如果协商不能解决，可向甲方所在地法院提起诉讼。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营业执照或其他主体证明资料</w:t>
            </w:r>
          </w:p>
        </w:tc>
        <w:tc>
          <w:tcPr>
            <w:tcW w:type="dxa" w:w="3322"/>
          </w:tcPr>
          <w:p>
            <w:pPr>
              <w:pStyle w:val="null3"/>
            </w:pPr>
            <w:r>
              <w:rPr>
                <w:rFonts w:ascii="仿宋_GB2312" w:hAnsi="仿宋_GB2312" w:cs="仿宋_GB2312" w:eastAsia="仿宋_GB2312"/>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供应商须具备《林草种子生产经营许可证》或《林木种子生产（经营）许可证》，且在有效期内。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 注：以响应文件中加盖单位公章的基本资格条件承诺函为准。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 注：以响应文件中提供的非联合体磋商的声明为准。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供应商提交的相关说明和证明材料，应当加盖供应商（法定名称）电子印章，相关供应商应于30分钟内（含30分钟）按磋商小组要求提供相应证明材料，通过项目电子化交易系统进行提交，否则提交的相关证明材料无效。供应商不能证明其响应报价合理性的，磋商小组应当将其投标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且与营业执照或其他证明资料上信息一致。法定代表人授权代表参加磋商的，须出具法定代表人授权书及授权代表身份证；自然人参加磋商的须提供身份证。注：以磋商响应文件中所附签章齐全的证明资料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每次报价唯一，且未超过采购包最高限价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对“质量标准、交货期、付款方式”等实质性内容进行响应且未附加采购人难以接受的条件</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采购内容</w:t>
            </w:r>
          </w:p>
        </w:tc>
        <w:tc>
          <w:tcPr>
            <w:tcW w:type="dxa" w:w="3322"/>
          </w:tcPr>
          <w:p>
            <w:pPr>
              <w:pStyle w:val="null3"/>
            </w:pPr>
            <w:r>
              <w:rPr>
                <w:rFonts w:ascii="仿宋_GB2312" w:hAnsi="仿宋_GB2312" w:cs="仿宋_GB2312" w:eastAsia="仿宋_GB2312"/>
              </w:rPr>
              <w:t>符合第三章“3.2服务内容及服务要求”中3.2.2服务要求。</w:t>
            </w:r>
          </w:p>
        </w:tc>
        <w:tc>
          <w:tcPr>
            <w:tcW w:type="dxa" w:w="1661"/>
          </w:tcPr>
          <w:p>
            <w:pPr>
              <w:pStyle w:val="null3"/>
            </w:pPr>
            <w:r>
              <w:rPr>
                <w:rFonts w:ascii="仿宋_GB2312" w:hAnsi="仿宋_GB2312" w:cs="仿宋_GB2312" w:eastAsia="仿宋_GB2312"/>
              </w:rPr>
              <w:t>商务应答表 技术应答表.docx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按磋商文件要求签署、加盖印章</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1.供货方案； 2.运输方案； 3.重点难点分析； 4.应急预案； 二、评审标准： 总体方案各部分内容全面详细、思路清晰、措施有力，完全符合本项目的实际需求，得20分，每缺一项内容扣5分；每项评审内容每存在 1 处缺陷的扣1分，扣完本项分值为止。 注：评审标准“缺陷”是指：①响应内容与项目不吻合、层次未细化；②阐述未从实际出发；③前后逻辑错误、存在歧义；④无具体详细的阐述、不具备实施性；⑤科学原理或常识错误等。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工作进度计划保障措施</w:t>
            </w:r>
          </w:p>
        </w:tc>
        <w:tc>
          <w:tcPr>
            <w:tcW w:type="dxa" w:w="2492"/>
          </w:tcPr>
          <w:p>
            <w:pPr>
              <w:pStyle w:val="null3"/>
            </w:pPr>
            <w:r>
              <w:rPr>
                <w:rFonts w:ascii="仿宋_GB2312" w:hAnsi="仿宋_GB2312" w:cs="仿宋_GB2312" w:eastAsia="仿宋_GB2312"/>
              </w:rPr>
              <w:t>一、评审内容： 1.工作任务完成期限与时间节点安排的合理性； 2.任务进度偏差调整预案。 二、评审标准： 项目进度保证各部分内容全面详细、节点清晰、管控有力、预案完善、后续保障承诺可行，完全满足本项目的时间要求，得10分，每缺一项内容扣 5分；每项评审内容每存在 1 处缺陷的扣 1 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一、评审内容：1.质量目标与质量控制要点；2.质量责任与保障体系； 二、评审标准：项目质量保证方案内容完整、重点突出，保障措施具体可行、具有针对性，质量管控逻辑清晰、阐述严谨，完全切合本项目实际需求，得10分，每缺一项内容扣5分；每项评审内容每存在 1 处缺陷的扣 1分，扣完本项分值为止。 注：评审标准“缺陷”是指：①响应内容与项目不吻合、层次未细化；②阐述未从实际出发，不切合项目背景及需求；③前后逻辑错误、存在歧义；④无具体详细的阐述、不具备实施性；⑤科学原理或常识错误等。 未提供方案不得分。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对供应商提供的验收方案进行评审： ①内容详细、完整、合理、可行，计10分； ②内容明确且基本完整，合理、可行，计8分；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供货承诺</w:t>
            </w:r>
          </w:p>
        </w:tc>
        <w:tc>
          <w:tcPr>
            <w:tcW w:type="dxa" w:w="2492"/>
          </w:tcPr>
          <w:p>
            <w:pPr>
              <w:pStyle w:val="null3"/>
            </w:pPr>
            <w:r>
              <w:rPr>
                <w:rFonts w:ascii="仿宋_GB2312" w:hAnsi="仿宋_GB2312" w:cs="仿宋_GB2312" w:eastAsia="仿宋_GB2312"/>
              </w:rPr>
              <w:t>供应商需提供服务承诺。 ①内容详细、完整、合理、可行，计5分； ②内容明确且基本完整，合理、可行，计4分； ③内容明确但不完整，有一定合理性及可行性计3分； ④内容含糊且不完整，合理性及可行性不足，得1分； 未提供有关相内容的不计分。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对供应商提供的项目组人员配备进行评审： ①针对本项目人员配备架构齐全、数量充足、配备方案详细且合理高效，逻辑结构清晰且针对性充足的，得5分； ②针对本项目人员配备架构基本齐全、数量基本充足、配备方案明确且具有一定合理性，逻辑结构基本清晰且具有一定针对性的，得4分； ③针对本项目人员配备架构基本齐全、数量基本充足、配备方案明确但合理性不足，具有逻辑结构且具有一定针对性的，得3分； ④针对本项目人员配备架构含糊、数量不足、配备方案含糊合理性不足，逻辑结构不清晰且无针对性的，得1分；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供应商自2023年1月1日至磋商响应文件递交截止时间前苗木供货项目业绩，每提供1份得2.5分，满分10分。 注：以响应文件中所附的合同协议书复印件为准，时间以合同签订时间为准。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1.评审范围：有效的磋商响应总报价（指经初审合格的供应商的磋商响应总报价）。 2.满足磋商文件要求且最后报价最低的供应商的价格为磋商基准价，其价格分为满分。其他供应商的价格分统一按照下列公式计算： 磋商报价得分=（磋商基准价/最后磋商报价）×分值×100。 3.评分分值计算保留小数点后两位，小数点后第三位“四舍五入”。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