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04AA1D">
      <w:pPr>
        <w:jc w:val="center"/>
        <w:rPr>
          <w:rFonts w:hint="eastAsia" w:ascii="仿宋_GB2312" w:hAnsi="仿宋_GB2312" w:eastAsia="仿宋_GB2312" w:cs="仿宋_GB2312"/>
          <w:b/>
          <w:bCs/>
          <w:kern w:val="0"/>
          <w:sz w:val="28"/>
          <w:szCs w:val="28"/>
          <w:highlight w:val="none"/>
          <w:lang w:val="en-US" w:eastAsia="zh-CN"/>
        </w:rPr>
      </w:pPr>
      <w:r>
        <w:rPr>
          <w:rFonts w:hint="eastAsia" w:ascii="仿宋_GB2312" w:hAnsi="仿宋_GB2312" w:eastAsia="仿宋_GB2312" w:cs="仿宋_GB2312"/>
          <w:b/>
          <w:bCs/>
          <w:kern w:val="0"/>
          <w:sz w:val="28"/>
          <w:szCs w:val="28"/>
          <w:highlight w:val="none"/>
          <w:lang w:val="en-US" w:eastAsia="zh-CN"/>
        </w:rPr>
        <w:t>陕西省宝鸡峡引渭灌区现代化改造项目南干渠杨凌城区段改造先行工程设计采购需求</w:t>
      </w:r>
    </w:p>
    <w:p w14:paraId="0D0C9056">
      <w:pPr>
        <w:pStyle w:val="4"/>
        <w:spacing w:line="360" w:lineRule="auto"/>
        <w:rPr>
          <w:highlight w:val="none"/>
        </w:rPr>
      </w:pPr>
      <w:r>
        <w:rPr>
          <w:rFonts w:ascii="仿宋_GB2312" w:hAnsi="仿宋_GB2312" w:eastAsia="仿宋_GB2312" w:cs="仿宋_GB2312"/>
        </w:rPr>
        <w:t>采购包预算</w:t>
      </w:r>
      <w:r>
        <w:rPr>
          <w:rFonts w:ascii="仿宋_GB2312" w:hAnsi="仿宋_GB2312" w:eastAsia="仿宋_GB2312" w:cs="仿宋_GB2312"/>
          <w:highlight w:val="none"/>
        </w:rPr>
        <w:t>金额（元）:</w:t>
      </w:r>
      <w:r>
        <w:rPr>
          <w:rFonts w:hint="eastAsia" w:ascii="仿宋_GB2312" w:hAnsi="仿宋_GB2312" w:eastAsia="仿宋_GB2312" w:cs="仿宋_GB2312"/>
          <w:highlight w:val="none"/>
          <w:lang w:val="en-US" w:eastAsia="zh-CN"/>
        </w:rPr>
        <w:t>1,350,000.00</w:t>
      </w:r>
    </w:p>
    <w:p w14:paraId="79FB2A2E">
      <w:pPr>
        <w:spacing w:line="360" w:lineRule="auto"/>
        <w:jc w:val="both"/>
        <w:rPr>
          <w:rFonts w:hint="eastAsia" w:ascii="仿宋_GB2312" w:hAnsi="仿宋_GB2312" w:eastAsia="仿宋_GB2312" w:cs="仿宋_GB2312"/>
          <w:b/>
          <w:bCs/>
          <w:kern w:val="0"/>
          <w:sz w:val="28"/>
          <w:szCs w:val="28"/>
          <w:highlight w:val="none"/>
          <w:lang w:val="en-US" w:eastAsia="zh-CN"/>
        </w:rPr>
      </w:pPr>
      <w:r>
        <w:rPr>
          <w:rFonts w:ascii="仿宋_GB2312" w:hAnsi="仿宋_GB2312" w:eastAsia="仿宋_GB2312" w:cs="仿宋_GB2312"/>
          <w:highlight w:val="none"/>
        </w:rPr>
        <w:t>采购包最高限价（元）:</w:t>
      </w:r>
      <w:r>
        <w:rPr>
          <w:rFonts w:hint="eastAsia" w:ascii="仿宋_GB2312" w:hAnsi="仿宋_GB2312" w:eastAsia="仿宋_GB2312" w:cs="仿宋_GB2312"/>
          <w:highlight w:val="none"/>
          <w:lang w:val="en-US" w:eastAsia="zh-CN"/>
        </w:rPr>
        <w:t>1,350,000.00</w:t>
      </w:r>
    </w:p>
    <w:tbl>
      <w:tblPr>
        <w:tblStyle w:val="2"/>
        <w:tblW w:w="8904"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26"/>
        <w:gridCol w:w="1238"/>
        <w:gridCol w:w="723"/>
        <w:gridCol w:w="1416"/>
        <w:gridCol w:w="741"/>
        <w:gridCol w:w="839"/>
        <w:gridCol w:w="790"/>
        <w:gridCol w:w="912"/>
        <w:gridCol w:w="818"/>
        <w:gridCol w:w="1001"/>
      </w:tblGrid>
      <w:tr w14:paraId="04F0EF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6" w:type="dxa"/>
            <w:vAlign w:val="center"/>
          </w:tcPr>
          <w:p w14:paraId="46E8C3FA">
            <w:pPr>
              <w:pStyle w:val="4"/>
              <w:jc w:val="center"/>
              <w:rPr>
                <w:highlight w:val="none"/>
              </w:rPr>
            </w:pPr>
            <w:r>
              <w:rPr>
                <w:rFonts w:ascii="仿宋_GB2312" w:hAnsi="仿宋_GB2312" w:eastAsia="仿宋_GB2312" w:cs="仿宋_GB2312"/>
                <w:highlight w:val="none"/>
              </w:rPr>
              <w:t>序号</w:t>
            </w:r>
          </w:p>
        </w:tc>
        <w:tc>
          <w:tcPr>
            <w:tcW w:w="1238" w:type="dxa"/>
            <w:vAlign w:val="center"/>
          </w:tcPr>
          <w:p w14:paraId="65946BEB">
            <w:pPr>
              <w:pStyle w:val="4"/>
              <w:jc w:val="center"/>
              <w:rPr>
                <w:highlight w:val="none"/>
              </w:rPr>
            </w:pPr>
            <w:r>
              <w:rPr>
                <w:rFonts w:ascii="仿宋_GB2312" w:hAnsi="仿宋_GB2312" w:eastAsia="仿宋_GB2312" w:cs="仿宋_GB2312"/>
                <w:highlight w:val="none"/>
              </w:rPr>
              <w:t>标的名称</w:t>
            </w:r>
          </w:p>
        </w:tc>
        <w:tc>
          <w:tcPr>
            <w:tcW w:w="723" w:type="dxa"/>
            <w:vAlign w:val="center"/>
          </w:tcPr>
          <w:p w14:paraId="7FDC648F">
            <w:pPr>
              <w:pStyle w:val="4"/>
              <w:jc w:val="center"/>
              <w:rPr>
                <w:highlight w:val="none"/>
              </w:rPr>
            </w:pPr>
            <w:r>
              <w:rPr>
                <w:rFonts w:ascii="仿宋_GB2312" w:hAnsi="仿宋_GB2312" w:eastAsia="仿宋_GB2312" w:cs="仿宋_GB2312"/>
                <w:highlight w:val="none"/>
              </w:rPr>
              <w:t>数量</w:t>
            </w:r>
          </w:p>
        </w:tc>
        <w:tc>
          <w:tcPr>
            <w:tcW w:w="1416" w:type="dxa"/>
            <w:vAlign w:val="center"/>
          </w:tcPr>
          <w:p w14:paraId="626FECE0">
            <w:pPr>
              <w:pStyle w:val="4"/>
              <w:jc w:val="center"/>
              <w:rPr>
                <w:highlight w:val="none"/>
              </w:rPr>
            </w:pPr>
            <w:r>
              <w:rPr>
                <w:rFonts w:ascii="仿宋_GB2312" w:hAnsi="仿宋_GB2312" w:eastAsia="仿宋_GB2312" w:cs="仿宋_GB2312"/>
                <w:highlight w:val="none"/>
              </w:rPr>
              <w:t>标的金额（元）</w:t>
            </w:r>
          </w:p>
        </w:tc>
        <w:tc>
          <w:tcPr>
            <w:tcW w:w="741" w:type="dxa"/>
            <w:vAlign w:val="center"/>
          </w:tcPr>
          <w:p w14:paraId="2C3A3178">
            <w:pPr>
              <w:pStyle w:val="4"/>
              <w:jc w:val="center"/>
              <w:rPr>
                <w:highlight w:val="none"/>
              </w:rPr>
            </w:pPr>
            <w:r>
              <w:rPr>
                <w:rFonts w:ascii="仿宋_GB2312" w:hAnsi="仿宋_GB2312" w:eastAsia="仿宋_GB2312" w:cs="仿宋_GB2312"/>
                <w:highlight w:val="none"/>
              </w:rPr>
              <w:t>计量单位</w:t>
            </w:r>
          </w:p>
        </w:tc>
        <w:tc>
          <w:tcPr>
            <w:tcW w:w="839" w:type="dxa"/>
            <w:vAlign w:val="center"/>
          </w:tcPr>
          <w:p w14:paraId="422E06A8">
            <w:pPr>
              <w:pStyle w:val="4"/>
              <w:jc w:val="center"/>
              <w:rPr>
                <w:highlight w:val="none"/>
              </w:rPr>
            </w:pPr>
            <w:r>
              <w:rPr>
                <w:rFonts w:ascii="仿宋_GB2312" w:hAnsi="仿宋_GB2312" w:eastAsia="仿宋_GB2312" w:cs="仿宋_GB2312"/>
                <w:highlight w:val="none"/>
              </w:rPr>
              <w:t>所属行业</w:t>
            </w:r>
          </w:p>
        </w:tc>
        <w:tc>
          <w:tcPr>
            <w:tcW w:w="790" w:type="dxa"/>
            <w:vAlign w:val="center"/>
          </w:tcPr>
          <w:p w14:paraId="18516B09">
            <w:pPr>
              <w:pStyle w:val="4"/>
              <w:jc w:val="center"/>
              <w:rPr>
                <w:highlight w:val="none"/>
              </w:rPr>
            </w:pPr>
            <w:r>
              <w:rPr>
                <w:rFonts w:ascii="仿宋_GB2312" w:hAnsi="仿宋_GB2312" w:eastAsia="仿宋_GB2312" w:cs="仿宋_GB2312"/>
                <w:highlight w:val="none"/>
              </w:rPr>
              <w:t>是否核心产品</w:t>
            </w:r>
          </w:p>
        </w:tc>
        <w:tc>
          <w:tcPr>
            <w:tcW w:w="912" w:type="dxa"/>
            <w:vAlign w:val="center"/>
          </w:tcPr>
          <w:p w14:paraId="0BA6D024">
            <w:pPr>
              <w:pStyle w:val="4"/>
              <w:jc w:val="center"/>
              <w:rPr>
                <w:highlight w:val="none"/>
              </w:rPr>
            </w:pPr>
            <w:r>
              <w:rPr>
                <w:rFonts w:ascii="仿宋_GB2312" w:hAnsi="仿宋_GB2312" w:eastAsia="仿宋_GB2312" w:cs="仿宋_GB2312"/>
                <w:highlight w:val="none"/>
              </w:rPr>
              <w:t>是否允许进口产品</w:t>
            </w:r>
          </w:p>
        </w:tc>
        <w:tc>
          <w:tcPr>
            <w:tcW w:w="818" w:type="dxa"/>
            <w:vAlign w:val="center"/>
          </w:tcPr>
          <w:p w14:paraId="0F328814">
            <w:pPr>
              <w:pStyle w:val="4"/>
              <w:jc w:val="center"/>
              <w:rPr>
                <w:highlight w:val="none"/>
              </w:rPr>
            </w:pPr>
            <w:r>
              <w:rPr>
                <w:rFonts w:ascii="仿宋_GB2312" w:hAnsi="仿宋_GB2312" w:eastAsia="仿宋_GB2312" w:cs="仿宋_GB2312"/>
                <w:highlight w:val="none"/>
              </w:rPr>
              <w:t>是否属于节能产品</w:t>
            </w:r>
          </w:p>
        </w:tc>
        <w:tc>
          <w:tcPr>
            <w:tcW w:w="1001" w:type="dxa"/>
            <w:vAlign w:val="center"/>
          </w:tcPr>
          <w:p w14:paraId="521FB6B9">
            <w:pPr>
              <w:pStyle w:val="4"/>
              <w:jc w:val="center"/>
              <w:rPr>
                <w:highlight w:val="none"/>
              </w:rPr>
            </w:pPr>
            <w:r>
              <w:rPr>
                <w:rFonts w:ascii="仿宋_GB2312" w:hAnsi="仿宋_GB2312" w:eastAsia="仿宋_GB2312" w:cs="仿宋_GB2312"/>
                <w:highlight w:val="none"/>
              </w:rPr>
              <w:t>是否属于环境标志产品</w:t>
            </w:r>
          </w:p>
        </w:tc>
      </w:tr>
      <w:tr w14:paraId="17ED4A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6" w:type="dxa"/>
            <w:vAlign w:val="center"/>
          </w:tcPr>
          <w:p w14:paraId="2407C34F">
            <w:pPr>
              <w:pStyle w:val="4"/>
              <w:jc w:val="center"/>
              <w:rPr>
                <w:rFonts w:ascii="仿宋_GB2312" w:hAnsi="仿宋_GB2312" w:eastAsia="仿宋_GB2312" w:cs="仿宋_GB2312"/>
                <w:highlight w:val="none"/>
              </w:rPr>
            </w:pPr>
            <w:r>
              <w:rPr>
                <w:rFonts w:ascii="仿宋_GB2312" w:hAnsi="仿宋_GB2312" w:eastAsia="仿宋_GB2312" w:cs="仿宋_GB2312"/>
                <w:highlight w:val="none"/>
              </w:rPr>
              <w:t>1</w:t>
            </w:r>
          </w:p>
        </w:tc>
        <w:tc>
          <w:tcPr>
            <w:tcW w:w="1238" w:type="dxa"/>
            <w:vAlign w:val="center"/>
          </w:tcPr>
          <w:p w14:paraId="31726E75">
            <w:pPr>
              <w:pStyle w:val="4"/>
              <w:jc w:val="center"/>
              <w:rPr>
                <w:rFonts w:ascii="仿宋_GB2312" w:hAnsi="仿宋_GB2312" w:eastAsia="仿宋_GB2312" w:cs="仿宋_GB2312"/>
                <w:highlight w:val="none"/>
              </w:rPr>
            </w:pPr>
            <w:r>
              <w:rPr>
                <w:rFonts w:hint="eastAsia" w:ascii="仿宋_GB2312" w:hAnsi="仿宋_GB2312" w:eastAsia="仿宋_GB2312" w:cs="仿宋_GB2312"/>
                <w:highlight w:val="none"/>
                <w:lang w:eastAsia="zh-CN"/>
              </w:rPr>
              <w:t>南干渠杨凌城区段改造先行工程设计</w:t>
            </w:r>
          </w:p>
        </w:tc>
        <w:tc>
          <w:tcPr>
            <w:tcW w:w="723" w:type="dxa"/>
            <w:vAlign w:val="center"/>
          </w:tcPr>
          <w:p w14:paraId="5377BAA8">
            <w:pPr>
              <w:pStyle w:val="4"/>
              <w:jc w:val="center"/>
              <w:rPr>
                <w:highlight w:val="none"/>
              </w:rPr>
            </w:pPr>
            <w:r>
              <w:rPr>
                <w:rFonts w:ascii="仿宋_GB2312" w:hAnsi="仿宋_GB2312" w:eastAsia="仿宋_GB2312" w:cs="仿宋_GB2312"/>
                <w:highlight w:val="none"/>
              </w:rPr>
              <w:t>1.00</w:t>
            </w:r>
          </w:p>
        </w:tc>
        <w:tc>
          <w:tcPr>
            <w:tcW w:w="1416" w:type="dxa"/>
            <w:vAlign w:val="center"/>
          </w:tcPr>
          <w:p w14:paraId="742BE4D8">
            <w:pPr>
              <w:pStyle w:val="4"/>
              <w:jc w:val="center"/>
              <w:rPr>
                <w:highlight w:val="none"/>
              </w:rPr>
            </w:pPr>
            <w:r>
              <w:rPr>
                <w:rFonts w:hint="eastAsia" w:ascii="仿宋_GB2312" w:hAnsi="仿宋_GB2312" w:eastAsia="仿宋_GB2312" w:cs="仿宋_GB2312"/>
                <w:highlight w:val="none"/>
                <w:lang w:val="en-US" w:eastAsia="zh-CN"/>
              </w:rPr>
              <w:t>1,350,000.00</w:t>
            </w:r>
          </w:p>
        </w:tc>
        <w:tc>
          <w:tcPr>
            <w:tcW w:w="741" w:type="dxa"/>
            <w:vAlign w:val="center"/>
          </w:tcPr>
          <w:p w14:paraId="2E3EA862">
            <w:pPr>
              <w:pStyle w:val="4"/>
              <w:jc w:val="center"/>
              <w:rPr>
                <w:highlight w:val="none"/>
              </w:rPr>
            </w:pPr>
            <w:r>
              <w:rPr>
                <w:rFonts w:ascii="仿宋_GB2312" w:hAnsi="仿宋_GB2312" w:eastAsia="仿宋_GB2312" w:cs="仿宋_GB2312"/>
                <w:highlight w:val="none"/>
              </w:rPr>
              <w:t>项</w:t>
            </w:r>
          </w:p>
        </w:tc>
        <w:tc>
          <w:tcPr>
            <w:tcW w:w="839" w:type="dxa"/>
            <w:vAlign w:val="center"/>
          </w:tcPr>
          <w:p w14:paraId="7B8514E6">
            <w:pPr>
              <w:pStyle w:val="4"/>
              <w:jc w:val="center"/>
              <w:rPr>
                <w:rFonts w:ascii="仿宋_GB2312" w:hAnsi="仿宋_GB2312" w:eastAsia="仿宋_GB2312" w:cs="仿宋_GB2312"/>
                <w:highlight w:val="none"/>
              </w:rPr>
            </w:pPr>
            <w:r>
              <w:rPr>
                <w:rFonts w:ascii="仿宋_GB2312" w:hAnsi="仿宋_GB2312" w:eastAsia="仿宋_GB2312" w:cs="仿宋_GB2312"/>
                <w:highlight w:val="none"/>
              </w:rPr>
              <w:t>其他未列明行业</w:t>
            </w:r>
          </w:p>
        </w:tc>
        <w:tc>
          <w:tcPr>
            <w:tcW w:w="790" w:type="dxa"/>
            <w:vAlign w:val="center"/>
          </w:tcPr>
          <w:p w14:paraId="65126075">
            <w:pPr>
              <w:pStyle w:val="4"/>
              <w:jc w:val="center"/>
              <w:rPr>
                <w:rFonts w:ascii="仿宋_GB2312" w:hAnsi="仿宋_GB2312" w:eastAsia="仿宋_GB2312" w:cs="仿宋_GB2312"/>
                <w:highlight w:val="none"/>
              </w:rPr>
            </w:pPr>
            <w:r>
              <w:rPr>
                <w:rFonts w:ascii="仿宋_GB2312" w:hAnsi="仿宋_GB2312" w:eastAsia="仿宋_GB2312" w:cs="仿宋_GB2312"/>
                <w:highlight w:val="none"/>
              </w:rPr>
              <w:t>否</w:t>
            </w:r>
          </w:p>
        </w:tc>
        <w:tc>
          <w:tcPr>
            <w:tcW w:w="912" w:type="dxa"/>
            <w:vAlign w:val="center"/>
          </w:tcPr>
          <w:p w14:paraId="136EDE14">
            <w:pPr>
              <w:pStyle w:val="4"/>
              <w:jc w:val="center"/>
              <w:rPr>
                <w:highlight w:val="none"/>
              </w:rPr>
            </w:pPr>
            <w:r>
              <w:rPr>
                <w:rFonts w:ascii="仿宋_GB2312" w:hAnsi="仿宋_GB2312" w:eastAsia="仿宋_GB2312" w:cs="仿宋_GB2312"/>
                <w:highlight w:val="none"/>
              </w:rPr>
              <w:t>否</w:t>
            </w:r>
          </w:p>
        </w:tc>
        <w:tc>
          <w:tcPr>
            <w:tcW w:w="818" w:type="dxa"/>
            <w:vAlign w:val="center"/>
          </w:tcPr>
          <w:p w14:paraId="4DCE01C0">
            <w:pPr>
              <w:pStyle w:val="4"/>
              <w:jc w:val="center"/>
              <w:rPr>
                <w:highlight w:val="none"/>
              </w:rPr>
            </w:pPr>
            <w:r>
              <w:rPr>
                <w:rFonts w:ascii="仿宋_GB2312" w:hAnsi="仿宋_GB2312" w:eastAsia="仿宋_GB2312" w:cs="仿宋_GB2312"/>
                <w:highlight w:val="none"/>
              </w:rPr>
              <w:t>否</w:t>
            </w:r>
          </w:p>
        </w:tc>
        <w:tc>
          <w:tcPr>
            <w:tcW w:w="1001" w:type="dxa"/>
            <w:vAlign w:val="center"/>
          </w:tcPr>
          <w:p w14:paraId="19812C3A">
            <w:pPr>
              <w:pStyle w:val="4"/>
              <w:jc w:val="center"/>
              <w:rPr>
                <w:highlight w:val="none"/>
              </w:rPr>
            </w:pPr>
            <w:r>
              <w:rPr>
                <w:rFonts w:ascii="仿宋_GB2312" w:hAnsi="仿宋_GB2312" w:eastAsia="仿宋_GB2312" w:cs="仿宋_GB2312"/>
                <w:highlight w:val="none"/>
              </w:rPr>
              <w:t>否</w:t>
            </w:r>
          </w:p>
        </w:tc>
      </w:tr>
    </w:tbl>
    <w:p w14:paraId="7B6FF23E">
      <w:pPr>
        <w:jc w:val="both"/>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Hans"/>
        </w:rPr>
        <w:t>具体技术参数与性能指标详见磋商文件。</w:t>
      </w:r>
    </w:p>
    <w:p w14:paraId="6FDDDF5D">
      <w:pPr>
        <w:jc w:val="center"/>
        <w:rPr>
          <w:rFonts w:hint="default" w:ascii="仿宋_GB2312" w:hAnsi="仿宋_GB2312" w:eastAsia="仿宋_GB2312" w:cs="仿宋_GB2312"/>
          <w:kern w:val="0"/>
          <w:sz w:val="20"/>
          <w:szCs w:val="20"/>
          <w:lang w:val="en-US"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285B32"/>
    <w:rsid w:val="23285B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2026-06-02T08:41:00Z</dcterms:created>
  <dc:creator>、</dc:creator>
  <cp:lastModifiedBy>、</cp:lastModifiedBy>
  <dcterms:modified xsi:type="dcterms:W3CDTF">2026-06-02T08:43:17Z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C59816C8D3544D6992D53FFC82BA144F_11</vt:lpwstr>
  </property>
  <property fmtid="{D5CDD505-2E9C-101B-9397-08002B2CF9AE}" pid="4" name="KSOTemplateDocerSaveRecord">
    <vt:lpwstr>eyJoZGlkIjoiOGZkNTU2YTY2ZGVhYTA3NmE4ZGQzY2MwMTllMmNjYzIiLCJ1c2VySWQiOiI2MjQ2MzIxMDUifQ==</vt:lpwstr>
  </property>
</Properties>
</file>