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版本号：HXZK2026ZC0416002.1B120260509001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陕西省高速公路收费政策广播电台网络媒体宣传服务项目(二次)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HXZK2026ZC0416002.1B1</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华夏正康（陕西）工程技术有限公司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华夏正康（陕西）工程技术有限公司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陕西省高速公路收费政策广播电台网络媒体宣传服务项目(二次)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HXZK2026ZC0416002.1B1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陕西省高速公路收费政策广播电台网络媒体宣传服务项目(二次)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通过广播电台网络媒体向广大司乘宣传解读收费公路政策法规及广大司乘关心关注的焦点热点问题，进一步提高社会公众对收费政策的认知和理解，从源头上化解争议。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采购包1（陕西省高速公路收费政策广播电台网络媒体宣传服务项目）：属于专门面向中小企业采购。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1、营业执照或其他组织：具有独立承担民事责任能力的法人、其他组织或自然人，提供营业执照/事业单位法人证书/非企业专业服务机构执业许可证/自然人身份证。 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2、供应商应授权合法的人员参加磋商全过程：法定代表人直接参加的，提供法定代表人身份证；授权代表参加的，提供法定代表人授权书（附法定代表人及授权代表身份证）；非法人单位参照执行。 供应商需在项目电子化交易系统中按要求上传相应证明文件并进行电子签章。</w:t>
      </w:r>
    </w:p>
    <w:p>
      <w:pPr>
        <w:pStyle w:val="null3"/>
      </w:pPr>
      <w:r>
        <w:rPr>
          <w:rFonts w:ascii="仿宋_GB2312" w:hAnsi="仿宋_GB2312" w:cs="仿宋_GB2312" w:eastAsia="仿宋_GB2312"/>
        </w:rPr>
        <w:t>3、财务状况：提供2024年度或2025年度的财务审计报告并具有在“注册会计师行业统一监管平台”赋予的验证码(包括审计报告、资产负债表、利润表、现金流量表、所有者权益变动表及其附注等，成立时间至提交响应文件截止时间不足一年的可提供成立后任意时段的资产负债表)，或其响应文件提交截止时间前三个月内银行出具的资信证明，或信用担保机构出具的投标担保函(以上三种形式的资料提供任何一种即可)。 供应商需在项目电子化交易系统中按要求上传相应证明文件并进行电子签章。</w:t>
      </w:r>
    </w:p>
    <w:p>
      <w:pPr>
        <w:pStyle w:val="null3"/>
      </w:pPr>
      <w:r>
        <w:rPr>
          <w:rFonts w:ascii="仿宋_GB2312" w:hAnsi="仿宋_GB2312" w:cs="仿宋_GB2312" w:eastAsia="仿宋_GB2312"/>
        </w:rPr>
        <w:t>4、依法缴纳税收证明资料：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 供应商需在项目电子化交易系统中按要求上传相应证明文件并进行电子签章。</w:t>
      </w:r>
    </w:p>
    <w:p>
      <w:pPr>
        <w:pStyle w:val="null3"/>
      </w:pPr>
      <w:r>
        <w:rPr>
          <w:rFonts w:ascii="仿宋_GB2312" w:hAnsi="仿宋_GB2312" w:cs="仿宋_GB2312" w:eastAsia="仿宋_GB2312"/>
        </w:rPr>
        <w:t>5、依法缴纳社会保险证明资料：提供响应文件提交截止时间前一年内至少一个月已缴纳的社会保障资金缴存单据或社保机构开具的社会保险参保缴费情况证明，依法不需要缴纳社会保障资金的单位应提供相关证明材料。 供应商需在项目电子化交易系统中按要求上传相应证明文件并进行电子签章。</w:t>
      </w:r>
    </w:p>
    <w:p>
      <w:pPr>
        <w:pStyle w:val="null3"/>
      </w:pPr>
      <w:r>
        <w:rPr>
          <w:rFonts w:ascii="仿宋_GB2312" w:hAnsi="仿宋_GB2312" w:cs="仿宋_GB2312" w:eastAsia="仿宋_GB2312"/>
        </w:rPr>
        <w:t>6、承诺书：提供具有履行合同所必需的设备和专业技术能力的承诺。 供应商需在项目电子化交易系统中按要求上传相应证明文件并进行电子签章。</w:t>
      </w:r>
    </w:p>
    <w:p>
      <w:pPr>
        <w:pStyle w:val="null3"/>
      </w:pPr>
      <w:r>
        <w:rPr>
          <w:rFonts w:ascii="仿宋_GB2312" w:hAnsi="仿宋_GB2312" w:cs="仿宋_GB2312" w:eastAsia="仿宋_GB2312"/>
        </w:rPr>
        <w:t>7、书面声明：提供参加政府采购活动前三年内在经营活动中没有重大违法记录的书面声明。 供应商需在项目电子化交易系统中按要求上传相应证明文件并进行电子签章。</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8、控股管理关系：单位负责人为同一人或者存在直接控股、管理关系的不同供应商，不得参加同一合同项下的政府采购活动。供应商需在项目电子化交易系统中按要求上传相应证明文件并进行电子签章。</w:t>
      </w:r>
    </w:p>
    <w:p>
      <w:pPr>
        <w:pStyle w:val="null3"/>
      </w:pPr>
      <w:r>
        <w:rPr>
          <w:rFonts w:ascii="仿宋_GB2312" w:hAnsi="仿宋_GB2312" w:cs="仿宋_GB2312" w:eastAsia="仿宋_GB2312"/>
        </w:rPr>
        <w:t>9、非联合体磋商：本采购包不接受联合体磋商，供应商提供非联合体磋商承诺书。 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029-86531103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华夏正康（陕西）工程技术有限公司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陕西省西安市雁塔区高新路15号城建大厦4楼401室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薛淑丹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17791951522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开户名称：华夏正康（陕西）工程技术有限公司</w:t>
            </w:r>
          </w:p>
          <w:p>
            <w:pPr>
              <w:pStyle w:val="null3"/>
            </w:pPr>
            <w:r>
              <w:rPr>
                <w:rFonts w:ascii="仿宋_GB2312" w:hAnsi="仿宋_GB2312" w:cs="仿宋_GB2312" w:eastAsia="仿宋_GB2312"/>
              </w:rPr>
              <w:t>开户银行：中国建设银行股份有限公司西安咸宁中路支行</w:t>
            </w:r>
          </w:p>
          <w:p>
            <w:pPr>
              <w:pStyle w:val="null3"/>
            </w:pPr>
            <w:r>
              <w:rPr>
                <w:rFonts w:ascii="仿宋_GB2312" w:hAnsi="仿宋_GB2312" w:cs="仿宋_GB2312" w:eastAsia="仿宋_GB2312"/>
              </w:rPr>
              <w:t>银行账号：61050173430000001131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办公厅颁发的《关于招标代理服务收费有关问题的通知》（发改办价格『2003』857号）规定，代理采购项目实际成交金额为计算基准按1980号文件类标准的 89% 向中标（成交）供应商收取代理服务费。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华夏正康（陕西）工程技术有限公司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华夏正康（陕西）工程技术有限公司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华夏正康（陕西）工程技术有限公司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联系人：薛淑丹</w:t>
      </w:r>
    </w:p>
    <w:p>
      <w:pPr>
        <w:pStyle w:val="null3"/>
      </w:pPr>
      <w:r>
        <w:rPr>
          <w:rFonts w:ascii="仿宋_GB2312" w:hAnsi="仿宋_GB2312" w:cs="仿宋_GB2312" w:eastAsia="仿宋_GB2312"/>
        </w:rPr>
        <w:t>联系电话：17791951522</w:t>
      </w:r>
    </w:p>
    <w:p>
      <w:pPr>
        <w:pStyle w:val="null3"/>
      </w:pPr>
      <w:r>
        <w:rPr>
          <w:rFonts w:ascii="仿宋_GB2312" w:hAnsi="仿宋_GB2312" w:cs="仿宋_GB2312" w:eastAsia="仿宋_GB2312"/>
        </w:rPr>
        <w:t>地址：陕西省西安市雁塔区高新路15号城建大厦4楼401室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通过广播电台网络媒体向广大司乘宣传解读收费公路政策法规及广大司乘关心关注的焦点热点问题，进一步提高社会公众对收费政策的认知和理解，从源头上化解争议。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w:t>
      </w:r>
    </w:p>
    <w:p>
      <w:pPr>
        <w:pStyle w:val="null3"/>
      </w:pPr>
      <w:r>
        <w:rPr>
          <w:rFonts w:ascii="仿宋_GB2312" w:hAnsi="仿宋_GB2312" w:cs="仿宋_GB2312" w:eastAsia="仿宋_GB2312"/>
        </w:rPr>
        <w:t>采购包最高限价（元）: 220,000.00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陕西省高速公路收费政策广播电台网络媒体宣传服务项目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220,000.00</w:t>
            </w:r>
          </w:p>
        </w:tc>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标的名称：陕西省高速公路收费政策广播电台网络媒体宣传服务项目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left"/>
            </w:pPr>
            <w:r>
              <w:rPr>
                <w:rFonts w:ascii="仿宋_GB2312" w:hAnsi="仿宋_GB2312" w:cs="仿宋_GB2312" w:eastAsia="仿宋_GB2312"/>
                <w:sz w:val="20"/>
                <w:color w:val="000000"/>
              </w:rPr>
              <w:t>一、</w:t>
            </w:r>
            <w:r>
              <w:rPr>
                <w:rFonts w:ascii="仿宋_GB2312" w:hAnsi="仿宋_GB2312" w:cs="仿宋_GB2312" w:eastAsia="仿宋_GB2312"/>
                <w:sz w:val="20"/>
                <w:color w:val="000000"/>
              </w:rPr>
              <w:t>服务内容</w:t>
            </w:r>
          </w:p>
          <w:p>
            <w:pPr>
              <w:pStyle w:val="null3"/>
              <w:ind w:firstLine="400"/>
              <w:jc w:val="left"/>
            </w:pPr>
            <w:r>
              <w:rPr>
                <w:rFonts w:ascii="仿宋_GB2312" w:hAnsi="仿宋_GB2312" w:cs="仿宋_GB2312" w:eastAsia="仿宋_GB2312"/>
                <w:sz w:val="20"/>
                <w:color w:val="000000"/>
              </w:rPr>
              <w:t>（一）宣传视频制作</w:t>
            </w:r>
          </w:p>
          <w:p>
            <w:pPr>
              <w:pStyle w:val="null3"/>
              <w:ind w:firstLine="400"/>
              <w:jc w:val="left"/>
            </w:pPr>
            <w:r>
              <w:rPr>
                <w:rFonts w:ascii="仿宋_GB2312" w:hAnsi="仿宋_GB2312" w:cs="仿宋_GB2312" w:eastAsia="仿宋_GB2312"/>
                <w:sz w:val="20"/>
                <w:color w:val="000000"/>
              </w:rPr>
              <w:t>1.根据法律、法规及国家政策发布投放需要，宣传视频内容严格按照采购人指定范围完成，视频分次剪辑制作，每条不低于1分钟，累计不少于7条，宣传视频应简洁明了、通俗易懂且不乏新意；</w:t>
            </w:r>
          </w:p>
          <w:p>
            <w:pPr>
              <w:pStyle w:val="null3"/>
              <w:ind w:firstLine="400"/>
              <w:jc w:val="left"/>
            </w:pPr>
            <w:r>
              <w:rPr>
                <w:rFonts w:ascii="仿宋_GB2312" w:hAnsi="仿宋_GB2312" w:cs="仿宋_GB2312" w:eastAsia="仿宋_GB2312"/>
                <w:sz w:val="20"/>
                <w:color w:val="000000"/>
              </w:rPr>
              <w:t>2.项目供应商对收费公路相关政策有准确认知理解能力并能快速提供宣传视频制作创意思路；</w:t>
            </w:r>
          </w:p>
          <w:p>
            <w:pPr>
              <w:pStyle w:val="null3"/>
              <w:ind w:firstLine="400"/>
              <w:jc w:val="left"/>
            </w:pPr>
            <w:r>
              <w:rPr>
                <w:rFonts w:ascii="仿宋_GB2312" w:hAnsi="仿宋_GB2312" w:cs="仿宋_GB2312" w:eastAsia="仿宋_GB2312"/>
                <w:sz w:val="20"/>
                <w:color w:val="000000"/>
              </w:rPr>
              <w:t>3.项目供应商能够全力配合视频制作需要，保证制作的宣传视频质效合格。</w:t>
            </w:r>
          </w:p>
          <w:p>
            <w:pPr>
              <w:pStyle w:val="null3"/>
              <w:ind w:firstLine="400"/>
              <w:jc w:val="left"/>
            </w:pPr>
            <w:r>
              <w:rPr>
                <w:rFonts w:ascii="仿宋_GB2312" w:hAnsi="仿宋_GB2312" w:cs="仿宋_GB2312" w:eastAsia="仿宋_GB2312"/>
                <w:sz w:val="20"/>
                <w:color w:val="000000"/>
              </w:rPr>
              <w:t>（二）广播投放</w:t>
            </w:r>
          </w:p>
          <w:p>
            <w:pPr>
              <w:pStyle w:val="null3"/>
              <w:ind w:firstLine="400"/>
              <w:jc w:val="left"/>
            </w:pPr>
            <w:r>
              <w:rPr>
                <w:rFonts w:ascii="仿宋_GB2312" w:hAnsi="仿宋_GB2312" w:cs="仿宋_GB2312" w:eastAsia="仿宋_GB2312"/>
                <w:sz w:val="20"/>
                <w:color w:val="000000"/>
              </w:rPr>
              <w:t>1.根据法律、法规及国家政策发布投放需要，本项目广播宣传共计8期，每期不少于40分钟；</w:t>
            </w:r>
          </w:p>
          <w:p>
            <w:pPr>
              <w:pStyle w:val="null3"/>
              <w:ind w:firstLine="400"/>
              <w:jc w:val="left"/>
            </w:pPr>
            <w:r>
              <w:rPr>
                <w:rFonts w:ascii="仿宋_GB2312" w:hAnsi="仿宋_GB2312" w:cs="仿宋_GB2312" w:eastAsia="仿宋_GB2312"/>
                <w:sz w:val="20"/>
                <w:color w:val="000000"/>
              </w:rPr>
              <w:t>2.项目供应商具有市级及以上广播电台广告代理授权书；</w:t>
            </w:r>
          </w:p>
          <w:p>
            <w:pPr>
              <w:pStyle w:val="null3"/>
              <w:ind w:firstLine="400"/>
              <w:jc w:val="left"/>
            </w:pPr>
            <w:r>
              <w:rPr>
                <w:rFonts w:ascii="仿宋_GB2312" w:hAnsi="仿宋_GB2312" w:cs="仿宋_GB2312" w:eastAsia="仿宋_GB2312"/>
                <w:sz w:val="20"/>
                <w:color w:val="000000"/>
              </w:rPr>
              <w:t>3.项目供应商对收费公路相关政策有准确认知理解能力并能快速提供广播发布内容思路；</w:t>
            </w:r>
          </w:p>
          <w:p>
            <w:pPr>
              <w:pStyle w:val="null3"/>
              <w:ind w:firstLine="400"/>
              <w:jc w:val="left"/>
            </w:pPr>
            <w:r>
              <w:rPr>
                <w:rFonts w:ascii="仿宋_GB2312" w:hAnsi="仿宋_GB2312" w:cs="仿宋_GB2312" w:eastAsia="仿宋_GB2312"/>
                <w:sz w:val="20"/>
                <w:color w:val="000000"/>
              </w:rPr>
              <w:t>4.项目供应商能够严格按照宣传内容推选相关受众广、覆盖强、公信力强、频段在全省范围均可收听的频率和栏目并完成广播宣传，进一步提高社会公众对收费政策的认知和理解。</w:t>
            </w:r>
          </w:p>
          <w:p>
            <w:pPr>
              <w:pStyle w:val="null3"/>
              <w:ind w:firstLine="400"/>
              <w:jc w:val="left"/>
            </w:pPr>
            <w:r>
              <w:rPr>
                <w:rFonts w:ascii="仿宋_GB2312" w:hAnsi="仿宋_GB2312" w:cs="仿宋_GB2312" w:eastAsia="仿宋_GB2312"/>
                <w:sz w:val="20"/>
                <w:color w:val="000000"/>
              </w:rPr>
              <w:t>二</w:t>
            </w:r>
            <w:r>
              <w:rPr>
                <w:rFonts w:ascii="仿宋_GB2312" w:hAnsi="仿宋_GB2312" w:cs="仿宋_GB2312" w:eastAsia="仿宋_GB2312"/>
                <w:sz w:val="20"/>
                <w:color w:val="000000"/>
              </w:rPr>
              <w:t>、服务要求</w:t>
            </w:r>
          </w:p>
          <w:p>
            <w:pPr>
              <w:pStyle w:val="null3"/>
              <w:ind w:firstLine="400"/>
              <w:jc w:val="left"/>
            </w:pPr>
            <w:r>
              <w:rPr>
                <w:rFonts w:ascii="仿宋_GB2312" w:hAnsi="仿宋_GB2312" w:cs="仿宋_GB2312" w:eastAsia="仿宋_GB2312"/>
                <w:sz w:val="20"/>
                <w:color w:val="000000"/>
              </w:rPr>
              <w:t>（一）服务时间及地点</w:t>
            </w:r>
          </w:p>
          <w:p>
            <w:pPr>
              <w:pStyle w:val="null3"/>
              <w:ind w:firstLine="400"/>
              <w:jc w:val="left"/>
            </w:pPr>
            <w:r>
              <w:rPr>
                <w:rFonts w:ascii="仿宋_GB2312" w:hAnsi="仿宋_GB2312" w:cs="仿宋_GB2312" w:eastAsia="仿宋_GB2312"/>
                <w:sz w:val="20"/>
                <w:color w:val="000000"/>
              </w:rPr>
              <w:t>本项目服务时间为自合同签订之日至2026年11月30日。</w:t>
            </w:r>
          </w:p>
          <w:p>
            <w:pPr>
              <w:pStyle w:val="null3"/>
              <w:ind w:firstLine="400"/>
              <w:jc w:val="left"/>
            </w:pPr>
            <w:r>
              <w:rPr>
                <w:rFonts w:ascii="仿宋_GB2312" w:hAnsi="仿宋_GB2312" w:cs="仿宋_GB2312" w:eastAsia="仿宋_GB2312"/>
                <w:sz w:val="20"/>
                <w:color w:val="000000"/>
              </w:rPr>
              <w:t>服务地点：陕西省高速公路收费中心。</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二</w:t>
            </w:r>
            <w:r>
              <w:rPr>
                <w:rFonts w:ascii="仿宋_GB2312" w:hAnsi="仿宋_GB2312" w:cs="仿宋_GB2312" w:eastAsia="仿宋_GB2312"/>
                <w:sz w:val="20"/>
                <w:color w:val="000000"/>
              </w:rPr>
              <w:t>）</w:t>
            </w:r>
            <w:r>
              <w:rPr>
                <w:rFonts w:ascii="仿宋_GB2312" w:hAnsi="仿宋_GB2312" w:cs="仿宋_GB2312" w:eastAsia="仿宋_GB2312"/>
                <w:sz w:val="20"/>
                <w:color w:val="000000"/>
              </w:rPr>
              <w:t>履约验收要求</w:t>
            </w:r>
          </w:p>
          <w:p>
            <w:pPr>
              <w:pStyle w:val="null3"/>
              <w:jc w:val="both"/>
            </w:pPr>
            <w:r>
              <w:rPr>
                <w:rFonts w:ascii="仿宋_GB2312" w:hAnsi="仿宋_GB2312" w:cs="仿宋_GB2312" w:eastAsia="仿宋_GB2312"/>
                <w:sz w:val="20"/>
                <w:color w:val="000000"/>
              </w:rPr>
              <w:t>项目履约验收主体为采购人，验收工作流程为供应商提出验收申请之日起30日内，由采购人组织验收工作。本项目为一次性验收，采购人严格按照</w:t>
            </w:r>
            <w:r>
              <w:rPr>
                <w:rFonts w:ascii="仿宋_GB2312" w:hAnsi="仿宋_GB2312" w:cs="仿宋_GB2312" w:eastAsia="仿宋_GB2312"/>
                <w:sz w:val="20"/>
                <w:color w:val="000000"/>
              </w:rPr>
              <w:t>磋商</w:t>
            </w:r>
            <w:r>
              <w:rPr>
                <w:rFonts w:ascii="仿宋_GB2312" w:hAnsi="仿宋_GB2312" w:cs="仿宋_GB2312" w:eastAsia="仿宋_GB2312"/>
                <w:sz w:val="20"/>
                <w:color w:val="000000"/>
              </w:rPr>
              <w:t>文件、</w:t>
            </w:r>
            <w:r>
              <w:rPr>
                <w:rFonts w:ascii="仿宋_GB2312" w:hAnsi="仿宋_GB2312" w:cs="仿宋_GB2312" w:eastAsia="仿宋_GB2312"/>
                <w:sz w:val="20"/>
                <w:color w:val="000000"/>
              </w:rPr>
              <w:t>响应</w:t>
            </w:r>
            <w:r>
              <w:rPr>
                <w:rFonts w:ascii="仿宋_GB2312" w:hAnsi="仿宋_GB2312" w:cs="仿宋_GB2312" w:eastAsia="仿宋_GB2312"/>
                <w:sz w:val="20"/>
                <w:color w:val="000000"/>
              </w:rPr>
              <w:t>文件和合同约定内容进行履约验收。</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为了避免在项目执行的各个环节出现偏差，必须设置统一标准的权责分工，以保证访问项目能正确实施，避免出现人为错误，提高工作效率。 项目准备和实施期间安排项目总协调1人；项目经理1人；制片人1人；摄像师2人，剪辑师/后期2人；文案策划1人。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（一）保密要求 项目实施过程中所收集、产生的所有与本项目相关的文档、资料，包括文字、图片、表格、数字等各种形式的所属权均归属省中心，供应商必须对所涉及的内容保密。 （二）付款要求 服务期间服务总费用不变，采购人无须另向服务单位支付合同约定之外的其它任何费用。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自合同签订之日至2026年11月30日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（一）履约验收要求 项目履约验收主体为采购人，验收工作流程为供应商提出验收申请之日起30日内，由采购人组织验收工作。本项目为一次性验收，采购人严格按照磋商文件、响应文件和合同约定内容进行履约验收。 （二）验收标准 1.提供完整有效的宣传视频源文件和音频监播文件； 2.供应商提供最终完播报告(加盖公章)及宣传视频著作权移交声明(加盖公章); 3.供应商提供音频发布所在栏目的节目播报表(需加盖播报电台公章)。</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合同签订后且供应商取得电台播报授权10个工作日内，首次支付供应商须向采购人出具合法有效的全额发票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剩余60%合同款项在广播投放和视频宣传服务项目内容完成且验收合格后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3.4.1落实的政府采购政策： （1）《国务院办公厅关于建立政府强制采购节能产品制度的通知》（国办发〔2007〕51号）； （2）《财政部司法部关于政府采购支持监狱企业发展有关问题的通知》（财库〔2014〕68号）； （3）《关于促进残疾人就业政府采购政策的通知》（财库〔2017〕141号）； （4）《陕西省财政厅关于印发&lt;陕西省中小企业政府采购信用融资办法&gt;的通知》（陕财办采〔2018〕23 号）； （5）《财政部发展改革委生态环境部市场监管总局关于调整优化节能产品、环境标志产品政府采购执行机制的通知》（财库〔2019〕9号）； （6）《关于印发环境标志产品政府采购品目清单的通知》（财库〔2019〕18号）； （7）《关于印发节能产品政府采购品目清单的通知》（财库〔2019〕19号）； （8）《关于发布参与实施政府采购节能产品、环境标志产品认证机构名录的公告》—2019年第16号； （9）《陕西省财政厅关于加快推进我省中小企业政府采购信用融资工作的通知》（陕财办采〔2020〕15号）； （10）《政府采购促进中小企业发展管理办法》（财库〔2020〕46号）； （11）关于印发《商品包装政府采购需求标准（试行）》（财办库〔2020〕123号）； （12）《陕西省财政厅陕西省工业和信息化厅关于运用政府采购政策支持首台（套）及创新产品有关事项的通知》（陕财办采〔2021〕17号）； （13）《关于运用政府采购政策支持乡村产业振兴的通知》（财库〔2021〕19号）； （14）《关于进一步加大政府采购支持中小企业力度的通知》（财库〔2022〕19号）； （15）《关于进一步加强政府绿色采购有关问题的通知》（陕财办采〔2021〕29号）； （16）《关于扩大政府采购支持绿色建材促进建筑品质提升政策实施范围的通知》（财库〔2022〕35号）； （17）《国家互联网信息办公室 工业和信息化部 公安部 财政部 国家认证认可监督管理委员会关于调整网络安全专用产品安全管理有关事项的公告》（2023年第1号）； （18）《财政部办公厅 住房城乡建设部办公厅 工业和信息化部办公厅关于印发&lt;政府采购支持绿色建材促进建筑品质提升政策项目实施指南&gt;的通知》（ 财办库〔2023〕52号）； （19）《国务院办公厅关于在政府采购中实施本国产品标准及相关政策的通知》（国办发〔2025〕34号）； （20）《关于推动解决政府采购异常低价问题的通知》（财库〔2026〕2号）； （21）其他需要落实的政府采购政策。如有最新颁布的政府采购政策，按最新的文件执行。 3.4.2本项目为专门面向中小企业采购，供应商应为中小微企业、残疾人企业或监狱企业。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营业执照或其他组织</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法定代表人直接参加的，提供法定代表人身份证；授权代表参加的，提供法定代表人授权书（附法定代表人及授权代表身份证）；非法人单位参照执行。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的财务审计报告并具有在“注册会计师行业统一监管平台”赋予的验证码(包括审计报告、资产负债表、利润表、现金流量表、所有者权益变动表及其附注等，成立时间至提交响应文件截止时间不足一年的可提供成立后任意时段的资产负债表)，或其响应文件提交截止时间前三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依法缴纳税收证明资料</w:t>
            </w:r>
          </w:p>
        </w:tc>
        <w:tc>
          <w:tcPr>
            <w:tcW w:type="dxa" w:w="3322"/>
          </w:tcPr>
          <w:p>
            <w:pPr>
              <w:pStyle w:val="null3"/>
            </w:pPr>
            <w:r>
              <w:rPr>
                <w:rFonts w:ascii="仿宋_GB2312" w:hAnsi="仿宋_GB2312" w:cs="仿宋_GB2312" w:eastAsia="仿宋_GB2312"/>
              </w:rPr>
              <w:t>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依法缴纳社会保险证明资料</w:t>
            </w:r>
          </w:p>
        </w:tc>
        <w:tc>
          <w:tcPr>
            <w:tcW w:type="dxa" w:w="3322"/>
          </w:tcPr>
          <w:p>
            <w:pPr>
              <w:pStyle w:val="null3"/>
            </w:pPr>
            <w:r>
              <w:rPr>
                <w:rFonts w:ascii="仿宋_GB2312" w:hAnsi="仿宋_GB2312" w:cs="仿宋_GB2312" w:eastAsia="仿宋_GB2312"/>
              </w:rPr>
              <w:t>提供响应文件提交截止时间前一年内至少一个月已缴纳的社会保障资金缴存单据或社保机构开具的社会保险参保缴费情况证明，依法不需要缴纳社会保障资金的单位应提供相关证明材料。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本采购包不接受联合体磋商，供应商提供非联合体磋商承诺书。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响应文件、磋商响应函加盖供应商公章并经法定代表人或被授权委托人签字或盖章。</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磋商响应文件有效期达到磋商文件的要求。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符合技术、服务、商务要求</w:t>
            </w:r>
          </w:p>
        </w:tc>
        <w:tc>
          <w:tcPr>
            <w:tcW w:type="dxa" w:w="3322"/>
          </w:tcPr>
          <w:p>
            <w:pPr>
              <w:pStyle w:val="null3"/>
            </w:pPr>
            <w:r>
              <w:rPr>
                <w:rFonts w:ascii="仿宋_GB2312" w:hAnsi="仿宋_GB2312" w:cs="仿宋_GB2312" w:eastAsia="仿宋_GB2312"/>
              </w:rPr>
              <w:t>完全响应技术、服务、商务要求。</w:t>
            </w:r>
          </w:p>
        </w:tc>
        <w:tc>
          <w:tcPr>
            <w:tcW w:type="dxa" w:w="1661"/>
          </w:tcPr>
          <w:p>
            <w:pPr>
              <w:pStyle w:val="null3"/>
            </w:pPr>
            <w:r>
              <w:rPr>
                <w:rFonts w:ascii="仿宋_GB2312" w:hAnsi="仿宋_GB2312" w:cs="仿宋_GB2312" w:eastAsia="仿宋_GB2312"/>
              </w:rPr>
              <w:t>服务内容及服务邀请应答表 商务应答表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符合磋商文件规定的其他实质性要求的</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不存在其他不符合法律法规或磋商文件规定的响应无效条款的情形。</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项目背景及需求分析</w:t>
            </w:r>
          </w:p>
        </w:tc>
        <w:tc>
          <w:tcPr>
            <w:tcW w:type="dxa" w:w="2492"/>
          </w:tcPr>
          <w:p>
            <w:pPr>
              <w:pStyle w:val="null3"/>
            </w:pPr>
            <w:r>
              <w:rPr>
                <w:rFonts w:ascii="仿宋_GB2312" w:hAnsi="仿宋_GB2312" w:cs="仿宋_GB2312" w:eastAsia="仿宋_GB2312"/>
              </w:rPr>
              <w:t>一、评审内容 针对本项目的服务内容及要求，供应商应对项目背景理解及需求分析，内容包括： 1、对项目背景的理解； 2、对项目的需求分析。 二、评审标准 1、完整性：项目背景及需求分析必须全面，对评审内容中的各项要求有详细描述； 2、可实施性：切合本项目实际情况，项目背景及需求分析具体、合理、可行； 3、针对性：项目背景及需求能够紧扣项目实际需求，内容科学合理。 三、赋分标准（满分6分） 1、对项目背景的理解：每完全满足一个评审标准得 1分，满分 3分； 2、对项目的需求分析：每完全满足一个评审标准得 1 分，满分3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一、评审内容 针对本项目服务内容及要求，详细列明项目整体服务方案，方案内容包括： 1、服务目标； 2、服务计划； 3、重难点分析； 4、服务成果。 二、评审标准 1、完整性：方案必须全面，对评审内容中的各项要求有详细描述； 2、可实施性：切合本项目实际情况，实施步骤清晰、合理、可行； 3、针对性：方案能够紧扣项目实际需求，内容科学合理。 三、赋分标准（满分12分） 1、服务目标：每完全满足一个评审标准得 1分，满分 3分； 2、服务计划：每完全满足一个评审标准得 1 分，满分3 分； 3、重难点分析：每完全满足一个评审标准得 1 分，满分3 分； 4、服务成果：每完全满足一个评审标准得1 分，满分3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一、评审内容 结合对本项目的服务内容及要求的人员配置，提供拟投入本项目人员，内容包括： 1、人员组织结构； 2、拟投入本项目的人员配置（提供简历表等，格式自拟，包括但不限于姓名、职务、年龄、工作经验、年限、学历等相关信息）； 3、项目人员岗位职责。 二、评审标准 1、完整性：人员配置必须全面，对评审内容中的各项要求有详细描述； 2、可实施性：切合本项目实际情况，人员分工明确，岗位设置合理、可行； 3、针对性：人员配置能够紧扣项目实际需求，科学合理。 三、赋分标准（满分9分） 1、人员组织结构：每完全满足一个评审标准得1分，满分 3分； 2、拟投入本项目的人员配置（提供简历表等，格式自拟，包括但不限于姓名、职务、年龄、工作经验、年限、学历等相关信息）：每完全满足一个评审标准得 1 分，满分3 分； 3、项目人员岗位职责：每完全满足一个评审标准得 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创意制作</w:t>
            </w:r>
          </w:p>
        </w:tc>
        <w:tc>
          <w:tcPr>
            <w:tcW w:type="dxa" w:w="2492"/>
          </w:tcPr>
          <w:p>
            <w:pPr>
              <w:pStyle w:val="null3"/>
            </w:pPr>
            <w:r>
              <w:rPr>
                <w:rFonts w:ascii="仿宋_GB2312" w:hAnsi="仿宋_GB2312" w:cs="仿宋_GB2312" w:eastAsia="仿宋_GB2312"/>
              </w:rPr>
              <w:t>一、评审内容 根据项目的服务内容，能提出新意的思路，视频制作达到宣传质效的创作成果，包括： 1、创意思路； 2、视频制作； 3、宣传视频质效成果。 二、评审标准 1、完整性：对评审内容中的各项要求有全面、详细描述； 2、可实施性：切合项目实际情况，各项评审内容清晰、合理、可行； 3、针对性：各项评审能够紧扣项目及采购人实际需求，内容科学合理。 三、赋分标准（满分9分） 1、创意思路：每完全满足一个评审标准得1分，满分3分； 2、视频制作：每完全满足一个评审标准得1分，满分3分； 3、宣传视频质效成果：每完全满足一个评审标准得1分，满分3分。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广播宣传</w:t>
            </w:r>
          </w:p>
        </w:tc>
        <w:tc>
          <w:tcPr>
            <w:tcW w:type="dxa" w:w="2492"/>
          </w:tcPr>
          <w:p>
            <w:pPr>
              <w:pStyle w:val="null3"/>
            </w:pPr>
            <w:r>
              <w:rPr>
                <w:rFonts w:ascii="仿宋_GB2312" w:hAnsi="仿宋_GB2312" w:cs="仿宋_GB2312" w:eastAsia="仿宋_GB2312"/>
              </w:rPr>
              <w:t>一、评审内容 根据项目的服务内容，达到广播宣传投放计划和覆盖范围，包括： 1、广播发布内容； 2、广播宣传覆盖范围。 二、评审标准 1、完整性：对评审内容中的各项要求有全面、详细描述； 2、可实施性：切合项目实际情况，各项评审内容清晰、合理、可行； 3、针对性：各项评审能够紧扣项目及采购人实际需求，内容科学合理。 三、赋分标准（满分6分） 1、广播发布内容：每完全满足一个评审标准得1分，满分3分； 2、广播宣传覆盖范围：每完全满足一个评审标准得1分，满分3分。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一、评审内容 供应商需针对服务内容及要求，提供项目实施进度安排，内容包括： 1、宣传视频制作的进度计划安排； 2、广播投放的进度计划安排； 3、项目验收计划安排。 二、评审标准 1、完整性：内容必须全面，对评审内容中的各项要求有详细描述； 2、可实施性：切合本项目实际情况，实施步骤清晰、合理、可行； 3、针对性：描述能够紧扣项目实际需求，内容科学合理。 三、赋分标准（满分9分） 1、宣传视频制作的进度计划安排：每完全满足一个评审标准得 1分，满分 3分； 2、广播投放的进度计划安排：每完全满足一个评审标准得 1分，满分 3分； 3、项目验收计划安排：每完全满足一个评审标准得 1分，满分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 供应商需针对服务内容及要求，提供服务保障及验收方案，内容包括： 1、服务质量保障方案； 2、视频制作保障方案； 3、宣传效果保障方案。 二、评审标准 1、完整性：内容必须全面，对评审内容中的各项要求有详细描述； 2、可实施性：切合本项目实际情况，实施步骤清晰、合理、可行； 3、针对性：描述能够紧扣项目实际需求，内容科学合理。 三、赋分标准（满分9分） 1、服务质量保障方案：每完全满足一个评审标准得 1分，满分 3分； 2、视频制作保障方案：每完全满足一个评审标准得 1分，满分 3分； 3、宣传效果保障方案：每完全满足一个评审标准得 1分，满分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一、评审内容 为保证宣传的服务质量和宣传效果，内容包括： 1、宣传内容达到的目标； 2、宣传效果的准确性。 二、评审标准 1、完整性：对评审内容中的各项要求有全面、详细描述； 2、可实施性：切合项目实际情况，各项内容清晰、合理、可行； 3、针对性：各项描述能够满足项目宣传的实际需求，内容科学合理。 三、赋分标准（满分6分） 1、宣传内容达到的目标：每完全满足一个评审标准得1分，满分3分； 2、宣传效果的准确性：每完全满足一个评审标准得1分，满分3分。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1、承诺：严格按照项目服务内容及要求，保证采购人要求的各项服务时限完成服务，确保宣传正常投放，得2分。无承诺不得分。 2、承诺：供应商对本项目拟派人员管理的岗位设置明确，权责分工标准统一，以保证项目的正常实施，得2分。无承诺不得分。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供应商应提供2023年1月1日起至今类似项目业绩，每提供1份业绩得2分，满分10分。 注：1、供应商提供的业绩以合同签订时间为准； 2、业绩资料需提供合同（合同关键页含客户名称、项目内容、签订日期、金额）等资料（需有甲方的签字或盖章）的复印件或扫描件，并加盖公章。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20%）×100。（对满足价格扣除条件且在响应文件中提交了《中小企业声明函》、《残疾人福利性单位声明函》或省级以上监狱管理局、戒毒管理局（含新疆生产建设兵团）出具的属于监狱企业的证明文件的供应商，其响应报价扣除 10% 后参与评审。对于同时属于小微企业、监狱企业或残疾人福利性单位的，不重复进行响应报价扣除。）</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详见附件：业绩资料.docx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