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版本号：SXDY-2026-11420260507001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城镇配套污水管网建设项目地勘服务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SXDY-2026-114</w:t>
      </w:r>
      <w:r>
        <w:br/>
      </w:r>
      <w:r>
        <w:br/>
      </w:r>
      <w:r>
        <w:br/>
      </w:r>
    </w:p>
    <w:p>
      <w:pPr>
        <w:pStyle w:val="null3"/>
        <w:jc w:val="center"/>
        <w:outlineLvl w:val="2"/>
      </w:pPr>
      <w:r>
        <w:rPr>
          <w:rFonts w:ascii="仿宋_GB2312" w:hAnsi="仿宋_GB2312" w:cs="仿宋_GB2312" w:eastAsia="仿宋_GB2312"/>
          <w:sz w:val="28"/>
          <w:b/>
        </w:rPr>
        <w:t>城固县住房和城乡建设局</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城固县住房和城乡建设局</w:t>
      </w:r>
      <w:r>
        <w:rPr>
          <w:rFonts w:ascii="仿宋_GB2312" w:hAnsi="仿宋_GB2312" w:cs="仿宋_GB2312" w:eastAsia="仿宋_GB2312"/>
        </w:rPr>
        <w:t>委托，拟对</w:t>
      </w:r>
      <w:r>
        <w:rPr>
          <w:rFonts w:ascii="仿宋_GB2312" w:hAnsi="仿宋_GB2312" w:cs="仿宋_GB2312" w:eastAsia="仿宋_GB2312"/>
        </w:rPr>
        <w:t>城镇配套污水管网建设项目地勘服务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SXDY-2026-114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城镇配套污水管网建设项目地勘服务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汉中市城固县新建城配套污水处理收集管网，总长度约275.9公里。其中，污水主管采用DN400-DN500规格HDPE钢带增强螺旋波纹管，总长约76.3公里；污水干管采用DN300规格HDPE钢带增强螺旋波纹管，污水支管采用DN200规格HDPE双壁波纹管，干管与支管合计总长约199.6公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采购包1（城镇配套污水管网建设项目地勘服务）：属于专门面向中小企业采购。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3、企业资质：供应商须具备行政主管部门核发的工程勘察综合类甲级资质或岩土工程勘察乙级及以上资质；</w:t>
      </w:r>
    </w:p>
    <w:p>
      <w:pPr>
        <w:pStyle w:val="null3"/>
      </w:pPr>
      <w:r>
        <w:rPr>
          <w:rFonts w:ascii="仿宋_GB2312" w:hAnsi="仿宋_GB2312" w:cs="仿宋_GB2312" w:eastAsia="仿宋_GB2312"/>
        </w:rPr>
        <w:t>4、负责人要求：须具备注册土木工程师（岩土）注册执业证书，且在本单位注册（须提供“陕西省建筑市场监管与诚信信息发布平台”查询截图）；</w:t>
      </w:r>
    </w:p>
    <w:p>
      <w:pPr>
        <w:pStyle w:val="null3"/>
      </w:pPr>
      <w:r>
        <w:rPr>
          <w:rFonts w:ascii="仿宋_GB2312" w:hAnsi="仿宋_GB2312" w:cs="仿宋_GB2312" w:eastAsia="仿宋_GB2312"/>
        </w:rPr>
        <w:t>5、承诺函：具有良好的商业信誉和健全的财务会计制度,具有履行合同所必需的设备和专业技术能力，具有依法缴纳税收和社会保障金的良好记录，参加本项目采购活动前三年内无重大违法活动记录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)，供应商应按照汉中市财政局《关于全面推行政府采购供应商基本资格条件承诺制的通知》（汉采办采管〔2024〕20号）文件要求，须提供加盖公章的《汉中市政府采购供应商资格承诺函》 。</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城固县东环一路南段5号院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0916-7211654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西安市朱雀大街南段汇成天玺酒店 C 座 11 楼 1110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17792911343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代理服务费收费标准：参照国家计委《招标代理服务收费管理暂行办法》(计价格〔2002〕1980号)及国家发展改革委《关于降低部分建设项目收费标准规范收费行为等有关问题的通知 》（发改价格[2011]534号）文件的规定，采用现金.转账或汇款方式向陕西大用项目管理有限公司交纳招标服务费。名称：陕西大用项目管理有限公司，开户行：招商银行股份有限公司西安朱雀大街支行，账号：129906899110501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城固县住房和城乡建设局</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符合国家、省及行业现行相关标准、规范和招标人要求，确保数据完整、真实准确、清晰有据。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联系人：雷虹</w:t>
      </w:r>
    </w:p>
    <w:p>
      <w:pPr>
        <w:pStyle w:val="null3"/>
      </w:pPr>
      <w:r>
        <w:rPr>
          <w:rFonts w:ascii="仿宋_GB2312" w:hAnsi="仿宋_GB2312" w:cs="仿宋_GB2312" w:eastAsia="仿宋_GB2312"/>
        </w:rPr>
        <w:t>联系电话：17792911343</w:t>
      </w:r>
    </w:p>
    <w:p>
      <w:pPr>
        <w:pStyle w:val="null3"/>
      </w:pPr>
      <w:r>
        <w:rPr>
          <w:rFonts w:ascii="仿宋_GB2312" w:hAnsi="仿宋_GB2312" w:cs="仿宋_GB2312" w:eastAsia="仿宋_GB2312"/>
        </w:rPr>
        <w:t>地址：西安市朱雀大街南段汇成天玺酒店 C 座 11 楼 1110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汉中市城固县新建城配套污水处理收集管网，总长度约275.9公里。其中，污水主管采用DN400-DN500规格HDPE钢带增强螺旋波纹管，总长约76.3公里；污水干管采用DN300规格HDPE钢带增强螺旋波纹管，污水支管采用DN200规格HDPE双壁波纹管，干管与支管合计总长约199.6公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一、建设地点：</w:t>
            </w:r>
            <w:r>
              <w:rPr>
                <w:rFonts w:ascii="仿宋_GB2312" w:hAnsi="仿宋_GB2312" w:cs="仿宋_GB2312" w:eastAsia="仿宋_GB2312"/>
                <w:sz w:val="28"/>
              </w:rPr>
              <w:t>陕西省汉中市城固县</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项目概况：</w:t>
            </w:r>
            <w:r>
              <w:rPr>
                <w:rFonts w:ascii="仿宋_GB2312" w:hAnsi="仿宋_GB2312" w:cs="仿宋_GB2312" w:eastAsia="仿宋_GB2312"/>
                <w:sz w:val="28"/>
              </w:rPr>
              <w:t>本项目</w:t>
            </w:r>
            <w:r>
              <w:rPr>
                <w:rFonts w:ascii="仿宋_GB2312" w:hAnsi="仿宋_GB2312" w:cs="仿宋_GB2312" w:eastAsia="仿宋_GB2312"/>
                <w:sz w:val="28"/>
              </w:rPr>
              <w:t>为汉中市城固县新建城配套污水处理收集管网，总长度约</w:t>
            </w:r>
            <w:r>
              <w:rPr>
                <w:rFonts w:ascii="仿宋_GB2312" w:hAnsi="仿宋_GB2312" w:cs="仿宋_GB2312" w:eastAsia="仿宋_GB2312"/>
                <w:sz w:val="28"/>
              </w:rPr>
              <w:t>275.9公里。其中，污水主管采用DN400-DN500规格HDPE钢带增强螺旋波纹管，总长约76.3公里；污水干管采用DN300规格HDPE钢带增强螺旋波纹管，污水支管采用DN200规格HDPE双壁波纹管，干管与支管合计总长约199.6公里。</w:t>
            </w:r>
          </w:p>
          <w:p>
            <w:pPr>
              <w:pStyle w:val="null3"/>
              <w:jc w:val="both"/>
            </w:pPr>
            <w:r>
              <w:rPr>
                <w:rFonts w:ascii="仿宋_GB2312" w:hAnsi="仿宋_GB2312" w:cs="仿宋_GB2312" w:eastAsia="仿宋_GB2312"/>
                <w:sz w:val="28"/>
                <w:b/>
              </w:rPr>
              <w:t>三、勘察范围：</w:t>
            </w:r>
            <w:r>
              <w:rPr>
                <w:rFonts w:ascii="仿宋_GB2312" w:hAnsi="仿宋_GB2312" w:cs="仿宋_GB2312" w:eastAsia="仿宋_GB2312"/>
                <w:sz w:val="28"/>
              </w:rPr>
              <w:t>城固县城镇配套污水管网建设项目工程勘察范围为老庄镇、文川镇（文西村、西文川、方村、闵村、肖村、文苏村、田家坎、余家坎、柏树营）、桔园镇（杨西营村）、原公镇（何家营、新原村）、龙头镇（龙头社区、曾肖营、六一村）、沙河营镇（姚家庄、梁家庄、苟家庄、刘叶村、司家铺村）、上元观镇（上坎村、西营、乐丰村、观后营、舒家坝、向日寺）、三合镇（陈丁村），包括上述区域管网沿线的工程地质勘察相关技术服务，涵盖勘察方案编制、现场勘察、样品检测、成果报告编制及审核、后续设计与施工阶段技术配合等全部工作内容，确保勘察成果满足项目设计、施工及验收的全部要求。</w:t>
            </w:r>
          </w:p>
          <w:p>
            <w:pPr>
              <w:pStyle w:val="null3"/>
              <w:jc w:val="both"/>
            </w:pPr>
            <w:r>
              <w:rPr>
                <w:rFonts w:ascii="仿宋_GB2312" w:hAnsi="仿宋_GB2312" w:cs="仿宋_GB2312" w:eastAsia="仿宋_GB2312"/>
                <w:sz w:val="28"/>
                <w:b/>
              </w:rPr>
              <w:t>四、勘察内容：</w:t>
            </w:r>
            <w:r>
              <w:rPr>
                <w:rFonts w:ascii="仿宋_GB2312" w:hAnsi="仿宋_GB2312" w:cs="仿宋_GB2312" w:eastAsia="仿宋_GB2312"/>
                <w:sz w:val="28"/>
              </w:rPr>
              <w:t>查明管网沿线地层岩性、分布规律及物理力学性质，确定地基承载力特征值；查明沿线不良地质现象（如流砂、淤泥、墓穴等）的分布范围、性质及危害程度，提出针对性处置建议；为管网沟槽开挖、地基处理、管道敷设提供详细地质参数支撑，勘察成果应满足现行技术范围的相关要求。</w:t>
            </w:r>
          </w:p>
          <w:p>
            <w:pPr>
              <w:pStyle w:val="null3"/>
              <w:jc w:val="both"/>
            </w:pPr>
            <w:r>
              <w:rPr>
                <w:rFonts w:ascii="仿宋_GB2312" w:hAnsi="仿宋_GB2312" w:cs="仿宋_GB2312" w:eastAsia="仿宋_GB2312"/>
                <w:sz w:val="28"/>
                <w:b/>
              </w:rPr>
              <w:t>五、技术要求：</w:t>
            </w:r>
          </w:p>
          <w:p>
            <w:pPr>
              <w:pStyle w:val="null3"/>
              <w:jc w:val="both"/>
            </w:pPr>
            <w:r>
              <w:rPr>
                <w:rFonts w:ascii="仿宋_GB2312" w:hAnsi="仿宋_GB2312" w:cs="仿宋_GB2312" w:eastAsia="仿宋_GB2312"/>
                <w:sz w:val="28"/>
              </w:rPr>
              <w:t>现场勘察技术：严格按照勘察方案执行，钻探、物探等勘察手段选用合理，钻探孔位、深度须精准把控，孔位偏差不超过规范允许范围，确保勘察数据的代表性和准确性；针对不同地层岩性，采用合适的钻探工艺，避免孔壁坍塌，保证岩芯采取率符合规范要求。</w:t>
            </w:r>
          </w:p>
          <w:p>
            <w:pPr>
              <w:pStyle w:val="null3"/>
              <w:jc w:val="both"/>
            </w:pPr>
            <w:r>
              <w:rPr>
                <w:rFonts w:ascii="仿宋_GB2312" w:hAnsi="仿宋_GB2312" w:cs="仿宋_GB2312" w:eastAsia="仿宋_GB2312"/>
                <w:sz w:val="28"/>
              </w:rPr>
              <w:t>样品检测技术：土样、水样采集须规范，采集数量、规格满足室内试验要求，样品封装、运输、保存符合相关标准，防止样品变质、损坏；室内试验项目须齐全，包括岩土物理性质试验、力学性质试验、地下水水质分析等，试验数据真实可靠，试验报告规范完整。</w:t>
            </w:r>
          </w:p>
          <w:p>
            <w:pPr>
              <w:pStyle w:val="null3"/>
              <w:jc w:val="both"/>
            </w:pPr>
            <w:r>
              <w:rPr>
                <w:rFonts w:ascii="仿宋_GB2312" w:hAnsi="仿宋_GB2312" w:cs="仿宋_GB2312" w:eastAsia="仿宋_GB2312"/>
                <w:sz w:val="28"/>
              </w:rPr>
              <w:t>数据处理技术：对现场勘察及室内试验数据进行科学整理、分析，采用专业软件进行数据处理，确保数据计算准确、成果分析合理；为勘察报告编制提供坚实的数据支撑。</w:t>
            </w:r>
          </w:p>
          <w:p>
            <w:pPr>
              <w:pStyle w:val="null3"/>
              <w:jc w:val="both"/>
            </w:pPr>
            <w:r>
              <w:rPr>
                <w:rFonts w:ascii="仿宋_GB2312" w:hAnsi="仿宋_GB2312" w:cs="仿宋_GB2312" w:eastAsia="仿宋_GB2312"/>
                <w:sz w:val="28"/>
              </w:rPr>
              <w:t>现场管控技术：建立完善的现场勘察管理制度，配备专人负责现场质量、安全管控，及时记录勘察过程中的各类情况，形成现场勘察日志；针对勘察过程中出现的技术问题，及时组织专业人员研究解决，确保勘察工作顺利推进。</w:t>
            </w:r>
          </w:p>
          <w:p>
            <w:pPr>
              <w:pStyle w:val="null3"/>
              <w:jc w:val="both"/>
            </w:pPr>
            <w:r>
              <w:rPr>
                <w:rFonts w:ascii="仿宋_GB2312" w:hAnsi="仿宋_GB2312" w:cs="仿宋_GB2312" w:eastAsia="仿宋_GB2312"/>
                <w:sz w:val="28"/>
                <w:b/>
              </w:rPr>
              <w:t>六、</w:t>
            </w:r>
            <w:r>
              <w:rPr>
                <w:rFonts w:ascii="仿宋_GB2312" w:hAnsi="仿宋_GB2312" w:cs="仿宋_GB2312" w:eastAsia="仿宋_GB2312"/>
                <w:sz w:val="28"/>
                <w:b/>
              </w:rPr>
              <w:t>勘察执行的标准：</w:t>
            </w:r>
          </w:p>
          <w:p>
            <w:pPr>
              <w:pStyle w:val="null3"/>
              <w:jc w:val="both"/>
            </w:pPr>
            <w:r>
              <w:rPr>
                <w:rFonts w:ascii="仿宋_GB2312" w:hAnsi="仿宋_GB2312" w:cs="仿宋_GB2312" w:eastAsia="仿宋_GB2312"/>
                <w:sz w:val="28"/>
              </w:rPr>
              <w:t>1.《岩土工程勘察规范》</w:t>
            </w:r>
            <w:r>
              <w:rPr>
                <w:rFonts w:ascii="仿宋_GB2312" w:hAnsi="仿宋_GB2312" w:cs="仿宋_GB2312" w:eastAsia="仿宋_GB2312"/>
                <w:sz w:val="28"/>
              </w:rPr>
              <w:t>(GB50021-2001 2009年版);</w:t>
            </w:r>
          </w:p>
          <w:p>
            <w:pPr>
              <w:pStyle w:val="null3"/>
              <w:jc w:val="both"/>
            </w:pPr>
            <w:r>
              <w:rPr>
                <w:rFonts w:ascii="仿宋_GB2312" w:hAnsi="仿宋_GB2312" w:cs="仿宋_GB2312" w:eastAsia="仿宋_GB2312"/>
                <w:sz w:val="28"/>
              </w:rPr>
              <w:t>2.《工程勘察通用规范》(GB 55017-2021);</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《市政工程勘察规范》</w:t>
            </w:r>
            <w:r>
              <w:rPr>
                <w:rFonts w:ascii="仿宋_GB2312" w:hAnsi="仿宋_GB2312" w:cs="仿宋_GB2312" w:eastAsia="仿宋_GB2312"/>
                <w:sz w:val="28"/>
              </w:rPr>
              <w:t>(CJJ56-2012)</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《湿陷性黄土地区建筑标准》</w:t>
            </w:r>
            <w:r>
              <w:rPr>
                <w:rFonts w:ascii="仿宋_GB2312" w:hAnsi="仿宋_GB2312" w:cs="仿宋_GB2312" w:eastAsia="仿宋_GB2312"/>
                <w:sz w:val="28"/>
              </w:rPr>
              <w:t>(GB50025-2018);</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《建筑与市政地基基础通用规范》</w:t>
            </w:r>
            <w:r>
              <w:rPr>
                <w:rFonts w:ascii="仿宋_GB2312" w:hAnsi="仿宋_GB2312" w:cs="仿宋_GB2312" w:eastAsia="仿宋_GB2312"/>
                <w:sz w:val="28"/>
              </w:rPr>
              <w:t>(GB55003-2021);</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《建筑地基基础设计规范》</w:t>
            </w:r>
            <w:r>
              <w:rPr>
                <w:rFonts w:ascii="仿宋_GB2312" w:hAnsi="仿宋_GB2312" w:cs="仿宋_GB2312" w:eastAsia="仿宋_GB2312"/>
                <w:sz w:val="28"/>
              </w:rPr>
              <w:t>(GB50007-2011)</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《建筑抗震设计规范》</w:t>
            </w:r>
            <w:r>
              <w:rPr>
                <w:rFonts w:ascii="仿宋_GB2312" w:hAnsi="仿宋_GB2312" w:cs="仿宋_GB2312" w:eastAsia="仿宋_GB2312"/>
                <w:sz w:val="28"/>
              </w:rPr>
              <w:t>(GB50011-2010</w:t>
            </w:r>
            <w:r>
              <w:rPr>
                <w:rFonts w:ascii="仿宋_GB2312" w:hAnsi="仿宋_GB2312" w:cs="仿宋_GB2312" w:eastAsia="仿宋_GB2312"/>
                <w:sz w:val="21"/>
              </w:rPr>
              <w:t xml:space="preserve"> </w:t>
            </w:r>
            <w:r>
              <w:rPr>
                <w:rFonts w:ascii="仿宋_GB2312" w:hAnsi="仿宋_GB2312" w:cs="仿宋_GB2312" w:eastAsia="仿宋_GB2312"/>
                <w:sz w:val="28"/>
              </w:rPr>
              <w:t>2016年</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8.</w:t>
            </w:r>
            <w:r>
              <w:rPr>
                <w:rFonts w:ascii="仿宋_GB2312" w:hAnsi="仿宋_GB2312" w:cs="仿宋_GB2312" w:eastAsia="仿宋_GB2312"/>
                <w:sz w:val="28"/>
              </w:rPr>
              <w:t>《建筑与市政工程抗震通用规范》</w:t>
            </w:r>
            <w:r>
              <w:rPr>
                <w:rFonts w:ascii="仿宋_GB2312" w:hAnsi="仿宋_GB2312" w:cs="仿宋_GB2312" w:eastAsia="仿宋_GB2312"/>
                <w:sz w:val="28"/>
              </w:rPr>
              <w:t>(GB55002-20</w:t>
            </w:r>
            <w:r>
              <w:rPr>
                <w:rFonts w:ascii="仿宋_GB2312" w:hAnsi="仿宋_GB2312" w:cs="仿宋_GB2312" w:eastAsia="仿宋_GB2312"/>
                <w:sz w:val="28"/>
              </w:rPr>
              <w:t>21</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9.</w:t>
            </w:r>
            <w:r>
              <w:rPr>
                <w:rFonts w:ascii="仿宋_GB2312" w:hAnsi="仿宋_GB2312" w:cs="仿宋_GB2312" w:eastAsia="仿宋_GB2312"/>
                <w:sz w:val="28"/>
              </w:rPr>
              <w:t>《中国地震动参数区划图》</w:t>
            </w:r>
            <w:r>
              <w:rPr>
                <w:rFonts w:ascii="仿宋_GB2312" w:hAnsi="仿宋_GB2312" w:cs="仿宋_GB2312" w:eastAsia="仿宋_GB2312"/>
                <w:sz w:val="28"/>
              </w:rPr>
              <w:t>(GB18306-2015)</w:t>
            </w:r>
          </w:p>
          <w:p>
            <w:pPr>
              <w:pStyle w:val="null3"/>
              <w:jc w:val="both"/>
            </w:pPr>
            <w:r>
              <w:rPr>
                <w:rFonts w:ascii="仿宋_GB2312" w:hAnsi="仿宋_GB2312" w:cs="仿宋_GB2312" w:eastAsia="仿宋_GB2312"/>
                <w:sz w:val="28"/>
              </w:rPr>
              <w:t>10.</w:t>
            </w:r>
            <w:r>
              <w:rPr>
                <w:rFonts w:ascii="仿宋_GB2312" w:hAnsi="仿宋_GB2312" w:cs="仿宋_GB2312" w:eastAsia="仿宋_GB2312"/>
                <w:sz w:val="28"/>
              </w:rPr>
              <w:t>《建筑桩基技术规范》</w:t>
            </w:r>
            <w:r>
              <w:rPr>
                <w:rFonts w:ascii="仿宋_GB2312" w:hAnsi="仿宋_GB2312" w:cs="仿宋_GB2312" w:eastAsia="仿宋_GB2312"/>
                <w:sz w:val="28"/>
              </w:rPr>
              <w:t>(JGJ94-2008)</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《建筑地基处理技术规范》</w:t>
            </w:r>
            <w:r>
              <w:rPr>
                <w:rFonts w:ascii="仿宋_GB2312" w:hAnsi="仿宋_GB2312" w:cs="仿宋_GB2312" w:eastAsia="仿宋_GB2312"/>
                <w:sz w:val="28"/>
              </w:rPr>
              <w:t>(JGJ79-2012);</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《建筑基坑支护技术规程》</w:t>
            </w:r>
            <w:r>
              <w:rPr>
                <w:rFonts w:ascii="仿宋_GB2312" w:hAnsi="仿宋_GB2312" w:cs="仿宋_GB2312" w:eastAsia="仿宋_GB2312"/>
                <w:sz w:val="28"/>
              </w:rPr>
              <w:t>(JGJ120-2012)</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《湿陷性黄土地区建筑基坑工程安全技术规程》</w:t>
            </w:r>
            <w:r>
              <w:rPr>
                <w:rFonts w:ascii="仿宋_GB2312" w:hAnsi="仿宋_GB2312" w:cs="仿宋_GB2312" w:eastAsia="仿宋_GB2312"/>
                <w:sz w:val="28"/>
              </w:rPr>
              <w:t>(JGJ167-2009)</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w:t>
            </w:r>
            <w:r>
              <w:rPr>
                <w:rFonts w:ascii="仿宋_GB2312" w:hAnsi="仿宋_GB2312" w:cs="仿宋_GB2312" w:eastAsia="仿宋_GB2312"/>
                <w:sz w:val="28"/>
              </w:rPr>
              <w:t>建筑基坑支护技术与安全规程</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DBJ61/T105-2015</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《土工试验方法标准》</w:t>
            </w:r>
            <w:r>
              <w:rPr>
                <w:rFonts w:ascii="仿宋_GB2312" w:hAnsi="仿宋_GB2312" w:cs="仿宋_GB2312" w:eastAsia="仿宋_GB2312"/>
                <w:sz w:val="28"/>
              </w:rPr>
              <w:t>(GB/T50123-2019);</w:t>
            </w:r>
          </w:p>
          <w:p>
            <w:pPr>
              <w:pStyle w:val="null3"/>
              <w:jc w:val="both"/>
            </w:pPr>
            <w:r>
              <w:rPr>
                <w:rFonts w:ascii="仿宋_GB2312" w:hAnsi="仿宋_GB2312" w:cs="仿宋_GB2312" w:eastAsia="仿宋_GB2312"/>
                <w:sz w:val="28"/>
              </w:rPr>
              <w:t>16.《给水排水管道工程施工及验收规范》(GB50268-2008)</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《工程地质手册》</w:t>
            </w:r>
            <w:r>
              <w:rPr>
                <w:rFonts w:ascii="仿宋_GB2312" w:hAnsi="仿宋_GB2312" w:cs="仿宋_GB2312" w:eastAsia="仿宋_GB2312"/>
                <w:sz w:val="28"/>
              </w:rPr>
              <w:t>(第五版);</w:t>
            </w:r>
          </w:p>
          <w:p>
            <w:pPr>
              <w:pStyle w:val="null3"/>
              <w:jc w:val="both"/>
            </w:pPr>
            <w:r>
              <w:rPr>
                <w:rFonts w:ascii="仿宋_GB2312" w:hAnsi="仿宋_GB2312" w:cs="仿宋_GB2312" w:eastAsia="仿宋_GB2312"/>
                <w:sz w:val="28"/>
                <w:b/>
              </w:rPr>
              <w:t>七、</w:t>
            </w:r>
            <w:r>
              <w:rPr>
                <w:rFonts w:ascii="仿宋_GB2312" w:hAnsi="仿宋_GB2312" w:cs="仿宋_GB2312" w:eastAsia="仿宋_GB2312"/>
                <w:sz w:val="28"/>
                <w:b/>
              </w:rPr>
              <w:t>成果交付要求：</w:t>
            </w:r>
          </w:p>
          <w:p>
            <w:pPr>
              <w:pStyle w:val="null3"/>
              <w:jc w:val="both"/>
            </w:pPr>
            <w:r>
              <w:rPr>
                <w:rFonts w:ascii="仿宋_GB2312" w:hAnsi="仿宋_GB2312" w:cs="仿宋_GB2312" w:eastAsia="仿宋_GB2312"/>
                <w:sz w:val="28"/>
                <w:b/>
                <w:color w:val="000000"/>
              </w:rPr>
              <w:t>7.1</w:t>
            </w:r>
            <w:r>
              <w:rPr>
                <w:rFonts w:ascii="仿宋_GB2312" w:hAnsi="仿宋_GB2312" w:cs="仿宋_GB2312" w:eastAsia="仿宋_GB2312"/>
                <w:sz w:val="28"/>
                <w:b/>
                <w:color w:val="000000"/>
              </w:rPr>
              <w:t>交付成果类型：</w:t>
            </w:r>
            <w:r>
              <w:rPr>
                <w:rFonts w:ascii="仿宋_GB2312" w:hAnsi="仿宋_GB2312" w:cs="仿宋_GB2312" w:eastAsia="仿宋_GB2312"/>
                <w:sz w:val="28"/>
                <w:color w:val="000000"/>
              </w:rPr>
              <w:t>完整的工程勘察报告（含文字说明、图表、试验数据、成果分析、结论及建议等）、数字化成果（含勘察点位坐标、地质剖面图等）。</w:t>
            </w:r>
          </w:p>
          <w:p>
            <w:pPr>
              <w:pStyle w:val="null3"/>
              <w:jc w:val="both"/>
            </w:pPr>
            <w:r>
              <w:rPr>
                <w:rFonts w:ascii="仿宋_GB2312" w:hAnsi="仿宋_GB2312" w:cs="仿宋_GB2312" w:eastAsia="仿宋_GB2312"/>
                <w:sz w:val="28"/>
                <w:b/>
                <w:color w:val="000000"/>
              </w:rPr>
              <w:t>7.2</w:t>
            </w:r>
            <w:r>
              <w:rPr>
                <w:rFonts w:ascii="仿宋_GB2312" w:hAnsi="仿宋_GB2312" w:cs="仿宋_GB2312" w:eastAsia="仿宋_GB2312"/>
                <w:sz w:val="28"/>
                <w:b/>
                <w:color w:val="000000"/>
              </w:rPr>
              <w:t>交付份数：</w:t>
            </w:r>
            <w:r>
              <w:rPr>
                <w:rFonts w:ascii="仿宋_GB2312" w:hAnsi="仿宋_GB2312" w:cs="仿宋_GB2312" w:eastAsia="仿宋_GB2312"/>
                <w:sz w:val="28"/>
                <w:color w:val="000000"/>
              </w:rPr>
              <w:t>勘察报告</w:t>
            </w:r>
            <w:r>
              <w:rPr>
                <w:rFonts w:ascii="仿宋_GB2312" w:hAnsi="仿宋_GB2312" w:cs="仿宋_GB2312" w:eastAsia="仿宋_GB2312"/>
                <w:sz w:val="28"/>
                <w:color w:val="000000"/>
              </w:rPr>
              <w:t>6份，电子文档2份（U盘存储，含可编辑版及PDF版）。</w:t>
            </w:r>
          </w:p>
          <w:p>
            <w:pPr>
              <w:pStyle w:val="null3"/>
              <w:jc w:val="both"/>
            </w:pPr>
            <w:r>
              <w:rPr>
                <w:rFonts w:ascii="仿宋_GB2312" w:hAnsi="仿宋_GB2312" w:cs="仿宋_GB2312" w:eastAsia="仿宋_GB2312"/>
                <w:sz w:val="28"/>
                <w:b/>
                <w:color w:val="000000"/>
              </w:rPr>
              <w:t>7.3</w:t>
            </w:r>
            <w:r>
              <w:rPr>
                <w:rFonts w:ascii="仿宋_GB2312" w:hAnsi="仿宋_GB2312" w:cs="仿宋_GB2312" w:eastAsia="仿宋_GB2312"/>
                <w:sz w:val="28"/>
                <w:b/>
                <w:color w:val="000000"/>
              </w:rPr>
              <w:t>交付时间：</w:t>
            </w:r>
            <w:r>
              <w:rPr>
                <w:rFonts w:ascii="仿宋_GB2312" w:hAnsi="仿宋_GB2312" w:cs="仿宋_GB2312" w:eastAsia="仿宋_GB2312"/>
                <w:sz w:val="28"/>
                <w:color w:val="000000"/>
              </w:rPr>
              <w:t>外业钻探进场后</w:t>
            </w:r>
            <w:r>
              <w:rPr>
                <w:rFonts w:ascii="仿宋_GB2312" w:hAnsi="仿宋_GB2312" w:cs="仿宋_GB2312" w:eastAsia="仿宋_GB2312"/>
                <w:sz w:val="28"/>
                <w:color w:val="000000"/>
              </w:rPr>
              <w:t>45个日历日内交付正式成果报告。</w:t>
            </w:r>
          </w:p>
          <w:p>
            <w:pPr>
              <w:pStyle w:val="null3"/>
              <w:jc w:val="both"/>
            </w:pPr>
            <w:r>
              <w:rPr>
                <w:rFonts w:ascii="仿宋_GB2312" w:hAnsi="仿宋_GB2312" w:cs="仿宋_GB2312" w:eastAsia="仿宋_GB2312"/>
                <w:sz w:val="28"/>
                <w:b/>
              </w:rPr>
              <w:t>7.4</w:t>
            </w:r>
            <w:r>
              <w:rPr>
                <w:rFonts w:ascii="仿宋_GB2312" w:hAnsi="仿宋_GB2312" w:cs="仿宋_GB2312" w:eastAsia="仿宋_GB2312"/>
                <w:sz w:val="28"/>
                <w:b/>
              </w:rPr>
              <w:t>交付要求：</w:t>
            </w:r>
            <w:r>
              <w:rPr>
                <w:rFonts w:ascii="仿宋_GB2312" w:hAnsi="仿宋_GB2312" w:cs="仿宋_GB2312" w:eastAsia="仿宋_GB2312"/>
                <w:sz w:val="28"/>
              </w:rPr>
              <w:t>成果文件须规范编制、装订整齐，加盖投标人公章及项目负责人签字；数字化成果须确保完整、准确，可直接用于项目设计、施工工作；所有交付成果须满足项目设计、施工及验收的全部要求。</w:t>
            </w:r>
          </w:p>
          <w:p>
            <w:pPr>
              <w:pStyle w:val="null3"/>
              <w:jc w:val="both"/>
            </w:pPr>
            <w:r>
              <w:rPr>
                <w:rFonts w:ascii="仿宋_GB2312" w:hAnsi="仿宋_GB2312" w:cs="仿宋_GB2312" w:eastAsia="仿宋_GB2312"/>
                <w:sz w:val="28"/>
                <w:b/>
              </w:rPr>
              <w:t>7.5</w:t>
            </w:r>
            <w:r>
              <w:rPr>
                <w:rFonts w:ascii="仿宋_GB2312" w:hAnsi="仿宋_GB2312" w:cs="仿宋_GB2312" w:eastAsia="仿宋_GB2312"/>
                <w:sz w:val="28"/>
                <w:b/>
              </w:rPr>
              <w:t>后续服务：</w:t>
            </w:r>
            <w:r>
              <w:rPr>
                <w:rFonts w:ascii="仿宋_GB2312" w:hAnsi="仿宋_GB2312" w:cs="仿宋_GB2312" w:eastAsia="仿宋_GB2312"/>
                <w:sz w:val="28"/>
              </w:rPr>
              <w:t>成果交付后，须配合采购人及相关单位完成成果审查，及时解答审查过程中提出的相关问题；配合设计、施工单位对勘察成果的使用，提供必要的技术指导。</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外业钻探进场后45个日历日内交付正式成果报告。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成果文件符合国家、省及行业现行相关标准、规范和招标人要求，确保数据完整、真实准确、清晰有据。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成果文件提交后并通过采购人确认</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2.未按合同要求提供服务或质量标准不能满足技术要求，采购人有权终止合同，并对成交人违约行为进行追究，同时按《中华人民共和国政府采购法》的有关规定进行处罚。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一般资格要求.docx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供应商须具备行政主管部门核发的工程勘察综合类甲级资质或岩土工程勘察乙级及以上资质；</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负责人要求</w:t>
            </w:r>
          </w:p>
        </w:tc>
        <w:tc>
          <w:tcPr>
            <w:tcW w:type="dxa" w:w="3322"/>
          </w:tcPr>
          <w:p>
            <w:pPr>
              <w:pStyle w:val="null3"/>
            </w:pPr>
            <w:r>
              <w:rPr>
                <w:rFonts w:ascii="仿宋_GB2312" w:hAnsi="仿宋_GB2312" w:cs="仿宋_GB2312" w:eastAsia="仿宋_GB2312"/>
              </w:rPr>
              <w:t>须具备注册土木工程师（岩土）注册执业证书，且在本单位注册（须提供“陕西省建筑市场监管与诚信信息发布平台”查询截图）；</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)，供应商应按照汉中市财政局《关于全面推行政府采购供应商基本资格条件承诺制的通知》（汉采办采管〔2024〕20号）文件要求，须提供加盖公章的《汉中市政府采购供应商资格承诺函》 。</w:t>
            </w:r>
          </w:p>
        </w:tc>
        <w:tc>
          <w:tcPr>
            <w:tcW w:type="dxa" w:w="1661"/>
          </w:tcPr>
          <w:p>
            <w:pPr>
              <w:pStyle w:val="null3"/>
            </w:pPr>
            <w:r>
              <w:rPr>
                <w:rFonts w:ascii="仿宋_GB2312" w:hAnsi="仿宋_GB2312" w:cs="仿宋_GB2312" w:eastAsia="仿宋_GB2312"/>
              </w:rPr>
              <w:t>特殊资格要求.docx 一般资格要求.docx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应满足竞争性磋商文件中要求的服务期限。</w:t>
            </w:r>
          </w:p>
        </w:tc>
        <w:tc>
          <w:tcPr>
            <w:tcW w:type="dxa" w:w="1661"/>
          </w:tcPr>
          <w:p>
            <w:pPr>
              <w:pStyle w:val="null3"/>
            </w:pPr>
            <w:r>
              <w:rPr>
                <w:rFonts w:ascii="仿宋_GB2312" w:hAnsi="仿宋_GB2312" w:cs="仿宋_GB2312" w:eastAsia="仿宋_GB2312"/>
              </w:rPr>
              <w:t>响应文件封面 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投标有效性</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一、评审内容：供应商需针对本项目提供具体可行的服务方案。内容包含但不限于:①服务总体设想及目标；②服务方案；③拟投入的设施、设备情况；④数据及资料管理方案；⑤成果编制方案。 二、赋分标准： 各项内容全面详细、阐述条理清晰，能有效保障本项目实施的得25分，每有一项内容存在缺陷，扣1-5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一、评审内容：供应商需针对本项目提供重点难点分析及解决方案，内容包含但不限于:①履约过程重点难点分析；②重点难点解决方案； 二、赋分标准： 各项内容全面详细、阐述条理清晰，能有效保障本项目实施的得10分，每有一项内容存在缺陷，扣1-5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重点难点分析及解决方案.docx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一、评审内容：供应商需针对本项目提供质量保障措施方案。内容包含但不限于: ①进度计划安排：②工作质量、安全、进度控制保障措施；③组织协调内容及措施。 二、赋分标准：各项内容全面详细、阐述条理清晰，能有效保障本项目实施的得15分，每有一项内容存在缺陷，扣1-5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保密管理方案</w:t>
            </w:r>
          </w:p>
        </w:tc>
        <w:tc>
          <w:tcPr>
            <w:tcW w:type="dxa" w:w="2492"/>
          </w:tcPr>
          <w:p>
            <w:pPr>
              <w:pStyle w:val="null3"/>
            </w:pPr>
            <w:r>
              <w:rPr>
                <w:rFonts w:ascii="仿宋_GB2312" w:hAnsi="仿宋_GB2312" w:cs="仿宋_GB2312" w:eastAsia="仿宋_GB2312"/>
              </w:rPr>
              <w:t>一、评审内容：供应商需针对本项目提供保密管理方案。内容包含但不限于:①保密制度；②保密人员管理；③从管理、人员、技术等各个方面，全面保证采购人数据及相关信息不泄密，并提供保密承诺。 二、赋分标准： 各项内容全面详细、阐述条理清晰，能有效保障本项目实施的得9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保密管理方案.docx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一、评审内容：供应商针对本项目提出具体的服务承诺，内容包含：①服务质量、服务计划、人员到位的服务承诺；②项目实施、后期验收、监督检查配合服务的承诺；③有利于本项目实施的合理化建议等； 二、赋分标准： 各项内容全面详细、阐述条理清晰，能有效保障本项目实施的得12分，每有一项内容存在缺陷，扣1-4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服务承诺.docx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一、评审内容：供应商针对本项目提出具体的应急措施，内容包含：①风险预测；②应对措施等。 二、赋分标准： 各项内容全面详细、阐述条理清晰，能有效保障本项目实施的得6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应急措施.docx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项目团队人员资质证书</w:t>
            </w:r>
          </w:p>
        </w:tc>
        <w:tc>
          <w:tcPr>
            <w:tcW w:type="dxa" w:w="2492"/>
          </w:tcPr>
          <w:p>
            <w:pPr>
              <w:pStyle w:val="null3"/>
            </w:pPr>
            <w:r>
              <w:rPr>
                <w:rFonts w:ascii="仿宋_GB2312" w:hAnsi="仿宋_GB2312" w:cs="仿宋_GB2312" w:eastAsia="仿宋_GB2312"/>
              </w:rPr>
              <w:t>1、项目负责人：具有高级职称及以上的得2分，满分2分； 2、项目组其他人员：具有中级及以上职称每增加一人得1分，满分2分。 备注：提供职称复印件或相关证明材料。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项目团队人员资质证书.docx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一、评审内容： 针对本项目的团队成员。包括但不限于：①岗位分工及岗位职责；②人员管理制度。 二、赋分标准：各项内容全面详细、阐述条理清晰，能有效保障本项目实施的得6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项目团队配备.docx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以合同的形式提供投标人2023年1月1日至今类似业绩，每提供一份得1分，满分3分；（提供完整合同复印件。）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经初审合格响应文件，其磋商报价为有效报价。满足磋商文件要求且价格最低的磋商报价为评标基准价，其价格分为满分。其他供应商的价格分统 一按照下列公式计算：报价得分=（评标基准价/磋商报价）×价格权值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详见附件：重点难点分析及解决方案.docx</w:t>
      </w:r>
    </w:p>
    <w:p>
      <w:pPr>
        <w:pStyle w:val="null3"/>
        <w:ind w:firstLine="960"/>
      </w:pPr>
      <w:r>
        <w:rPr>
          <w:rFonts w:ascii="仿宋_GB2312" w:hAnsi="仿宋_GB2312" w:cs="仿宋_GB2312" w:eastAsia="仿宋_GB2312"/>
        </w:rPr>
        <w:t>详见附件：质量保障措施.docx</w:t>
      </w:r>
    </w:p>
    <w:p>
      <w:pPr>
        <w:pStyle w:val="null3"/>
        <w:ind w:firstLine="960"/>
      </w:pPr>
      <w:r>
        <w:rPr>
          <w:rFonts w:ascii="仿宋_GB2312" w:hAnsi="仿宋_GB2312" w:cs="仿宋_GB2312" w:eastAsia="仿宋_GB2312"/>
        </w:rPr>
        <w:t>详见附件：保密管理方案.docx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详见附件：应急措施.docx</w:t>
      </w:r>
    </w:p>
    <w:p>
      <w:pPr>
        <w:pStyle w:val="null3"/>
        <w:ind w:firstLine="960"/>
      </w:pPr>
      <w:r>
        <w:rPr>
          <w:rFonts w:ascii="仿宋_GB2312" w:hAnsi="仿宋_GB2312" w:cs="仿宋_GB2312" w:eastAsia="仿宋_GB2312"/>
        </w:rPr>
        <w:t>详见附件：项目团队人员资质证书.docx</w:t>
      </w:r>
    </w:p>
    <w:p>
      <w:pPr>
        <w:pStyle w:val="null3"/>
        <w:ind w:firstLine="960"/>
      </w:pPr>
      <w:r>
        <w:rPr>
          <w:rFonts w:ascii="仿宋_GB2312" w:hAnsi="仿宋_GB2312" w:cs="仿宋_GB2312" w:eastAsia="仿宋_GB2312"/>
        </w:rPr>
        <w:t>详见附件：项目团队配备.docx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