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2EFCB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医疗设备采购合同</w:t>
      </w:r>
    </w:p>
    <w:p w14:paraId="205E948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b w:val="0"/>
          <w:bCs w:val="0"/>
          <w:sz w:val="22"/>
          <w:szCs w:val="22"/>
        </w:rPr>
      </w:pPr>
    </w:p>
    <w:p w14:paraId="3E719EE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甲方：西安医学院第三附属医院</w:t>
      </w:r>
    </w:p>
    <w:p w14:paraId="7B31B77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乙方：</w:t>
      </w:r>
    </w:p>
    <w:p w14:paraId="7A75D9A7">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依据《中华人民共和国民法典》及相关法律法规，经甲乙双方自愿、平等协商，特订立本合同，以资共同信守。</w:t>
      </w:r>
    </w:p>
    <w:p w14:paraId="1A5C6413">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仿宋_GB2312" w:hAnsi="仿宋_GB2312" w:eastAsia="仿宋_GB2312" w:cs="仿宋_GB2312"/>
          <w:b/>
          <w:bCs/>
          <w:sz w:val="21"/>
          <w:szCs w:val="21"/>
        </w:rPr>
      </w:pPr>
      <w:r>
        <w:rPr>
          <w:rFonts w:hint="eastAsia" w:ascii="仿宋_GB2312" w:hAnsi="仿宋_GB2312" w:eastAsia="仿宋_GB2312" w:cs="仿宋_GB2312"/>
          <w:b/>
          <w:bCs/>
          <w:sz w:val="21"/>
          <w:szCs w:val="21"/>
        </w:rPr>
        <w:t>一、设备名称、规格型号、数量、单价、金额：</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3"/>
        <w:gridCol w:w="1270"/>
        <w:gridCol w:w="947"/>
        <w:gridCol w:w="947"/>
        <w:gridCol w:w="947"/>
        <w:gridCol w:w="947"/>
        <w:gridCol w:w="947"/>
        <w:gridCol w:w="947"/>
        <w:gridCol w:w="947"/>
      </w:tblGrid>
      <w:tr w14:paraId="643A9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3" w:type="dxa"/>
          </w:tcPr>
          <w:p w14:paraId="2C2B7D7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b/>
                <w:bCs/>
                <w:sz w:val="21"/>
                <w:szCs w:val="21"/>
                <w:vertAlign w:val="baseline"/>
                <w:lang w:val="en-US" w:eastAsia="zh-CN"/>
              </w:rPr>
            </w:pPr>
            <w:r>
              <w:rPr>
                <w:rFonts w:hint="eastAsia" w:ascii="仿宋_GB2312" w:hAnsi="仿宋_GB2312" w:eastAsia="仿宋_GB2312" w:cs="仿宋_GB2312"/>
                <w:b/>
                <w:bCs/>
                <w:sz w:val="21"/>
                <w:szCs w:val="21"/>
                <w:vertAlign w:val="baseline"/>
                <w:lang w:val="en-US" w:eastAsia="zh-CN"/>
              </w:rPr>
              <w:t>序号</w:t>
            </w:r>
          </w:p>
        </w:tc>
        <w:tc>
          <w:tcPr>
            <w:tcW w:w="1270" w:type="dxa"/>
          </w:tcPr>
          <w:p w14:paraId="78CB18A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b/>
                <w:bCs/>
                <w:sz w:val="21"/>
                <w:szCs w:val="21"/>
                <w:vertAlign w:val="baseline"/>
                <w:lang w:val="en-US" w:eastAsia="zh-CN"/>
              </w:rPr>
            </w:pPr>
            <w:r>
              <w:rPr>
                <w:rFonts w:hint="eastAsia" w:ascii="仿宋_GB2312" w:hAnsi="仿宋_GB2312" w:eastAsia="仿宋_GB2312" w:cs="仿宋_GB2312"/>
                <w:b/>
                <w:bCs/>
                <w:sz w:val="21"/>
                <w:szCs w:val="21"/>
                <w:vertAlign w:val="baseline"/>
                <w:lang w:val="en-US" w:eastAsia="zh-CN"/>
              </w:rPr>
              <w:t>设备名称</w:t>
            </w:r>
          </w:p>
        </w:tc>
        <w:tc>
          <w:tcPr>
            <w:tcW w:w="947" w:type="dxa"/>
          </w:tcPr>
          <w:p w14:paraId="7348743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b/>
                <w:bCs/>
                <w:sz w:val="21"/>
                <w:szCs w:val="21"/>
                <w:vertAlign w:val="baseline"/>
              </w:rPr>
            </w:pPr>
            <w:r>
              <w:rPr>
                <w:rFonts w:hint="eastAsia" w:ascii="仿宋_GB2312" w:hAnsi="仿宋_GB2312" w:eastAsia="仿宋_GB2312" w:cs="仿宋_GB2312"/>
                <w:b/>
                <w:bCs/>
                <w:sz w:val="21"/>
                <w:szCs w:val="21"/>
                <w:vertAlign w:val="baseline"/>
              </w:rPr>
              <w:t>产地/品牌</w:t>
            </w:r>
          </w:p>
        </w:tc>
        <w:tc>
          <w:tcPr>
            <w:tcW w:w="947" w:type="dxa"/>
          </w:tcPr>
          <w:p w14:paraId="0F80AFE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b/>
                <w:bCs/>
                <w:sz w:val="21"/>
                <w:szCs w:val="21"/>
                <w:vertAlign w:val="baseline"/>
                <w:lang w:val="en-US" w:eastAsia="zh-CN"/>
              </w:rPr>
            </w:pPr>
            <w:r>
              <w:rPr>
                <w:rFonts w:hint="eastAsia" w:ascii="仿宋_GB2312" w:hAnsi="仿宋_GB2312" w:eastAsia="仿宋_GB2312" w:cs="仿宋_GB2312"/>
                <w:b/>
                <w:bCs/>
                <w:sz w:val="21"/>
                <w:szCs w:val="21"/>
                <w:vertAlign w:val="baseline"/>
                <w:lang w:val="en-US" w:eastAsia="zh-CN"/>
              </w:rPr>
              <w:t>型号</w:t>
            </w:r>
          </w:p>
        </w:tc>
        <w:tc>
          <w:tcPr>
            <w:tcW w:w="947" w:type="dxa"/>
          </w:tcPr>
          <w:p w14:paraId="45887E8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b/>
                <w:bCs/>
                <w:sz w:val="21"/>
                <w:szCs w:val="21"/>
                <w:vertAlign w:val="baseline"/>
                <w:lang w:val="en-US" w:eastAsia="zh-CN"/>
              </w:rPr>
            </w:pPr>
            <w:r>
              <w:rPr>
                <w:rFonts w:hint="eastAsia" w:ascii="仿宋_GB2312" w:hAnsi="仿宋_GB2312" w:eastAsia="仿宋_GB2312" w:cs="仿宋_GB2312"/>
                <w:b/>
                <w:bCs/>
                <w:sz w:val="21"/>
                <w:szCs w:val="21"/>
                <w:vertAlign w:val="baseline"/>
                <w:lang w:val="en-US" w:eastAsia="zh-CN"/>
              </w:rPr>
              <w:t>单位</w:t>
            </w:r>
          </w:p>
        </w:tc>
        <w:tc>
          <w:tcPr>
            <w:tcW w:w="947" w:type="dxa"/>
          </w:tcPr>
          <w:p w14:paraId="486BC0B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b/>
                <w:bCs/>
                <w:sz w:val="21"/>
                <w:szCs w:val="21"/>
                <w:vertAlign w:val="baseline"/>
                <w:lang w:val="en-US" w:eastAsia="zh-CN"/>
              </w:rPr>
            </w:pPr>
            <w:r>
              <w:rPr>
                <w:rFonts w:hint="eastAsia" w:ascii="仿宋_GB2312" w:hAnsi="仿宋_GB2312" w:eastAsia="仿宋_GB2312" w:cs="仿宋_GB2312"/>
                <w:b/>
                <w:bCs/>
                <w:sz w:val="21"/>
                <w:szCs w:val="21"/>
                <w:vertAlign w:val="baseline"/>
                <w:lang w:val="en-US" w:eastAsia="zh-CN"/>
              </w:rPr>
              <w:t>数量</w:t>
            </w:r>
          </w:p>
        </w:tc>
        <w:tc>
          <w:tcPr>
            <w:tcW w:w="947" w:type="dxa"/>
          </w:tcPr>
          <w:p w14:paraId="0BDF5AE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b/>
                <w:bCs/>
                <w:sz w:val="21"/>
                <w:szCs w:val="21"/>
                <w:vertAlign w:val="baseline"/>
                <w:lang w:val="en-US" w:eastAsia="zh-CN"/>
              </w:rPr>
            </w:pPr>
            <w:r>
              <w:rPr>
                <w:rFonts w:hint="eastAsia" w:ascii="仿宋_GB2312" w:hAnsi="仿宋_GB2312" w:eastAsia="仿宋_GB2312" w:cs="仿宋_GB2312"/>
                <w:b/>
                <w:bCs/>
                <w:sz w:val="21"/>
                <w:szCs w:val="21"/>
                <w:vertAlign w:val="baseline"/>
                <w:lang w:val="en-US" w:eastAsia="zh-CN"/>
              </w:rPr>
              <w:t>单价（元）</w:t>
            </w:r>
          </w:p>
        </w:tc>
        <w:tc>
          <w:tcPr>
            <w:tcW w:w="947" w:type="dxa"/>
          </w:tcPr>
          <w:p w14:paraId="4C10108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b/>
                <w:bCs/>
                <w:sz w:val="21"/>
                <w:szCs w:val="21"/>
                <w:vertAlign w:val="baseline"/>
                <w:lang w:val="en-US" w:eastAsia="zh-CN"/>
              </w:rPr>
            </w:pPr>
            <w:r>
              <w:rPr>
                <w:rFonts w:hint="eastAsia" w:ascii="仿宋_GB2312" w:hAnsi="仿宋_GB2312" w:eastAsia="仿宋_GB2312" w:cs="仿宋_GB2312"/>
                <w:b/>
                <w:bCs/>
                <w:sz w:val="21"/>
                <w:szCs w:val="21"/>
                <w:vertAlign w:val="baseline"/>
                <w:lang w:val="en-US" w:eastAsia="zh-CN"/>
              </w:rPr>
              <w:t>金额（元）</w:t>
            </w:r>
          </w:p>
        </w:tc>
        <w:tc>
          <w:tcPr>
            <w:tcW w:w="947" w:type="dxa"/>
          </w:tcPr>
          <w:p w14:paraId="56F4C65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b/>
                <w:bCs/>
                <w:sz w:val="21"/>
                <w:szCs w:val="21"/>
                <w:vertAlign w:val="baseline"/>
                <w:lang w:val="en-US" w:eastAsia="zh-CN"/>
              </w:rPr>
            </w:pPr>
            <w:r>
              <w:rPr>
                <w:rFonts w:hint="eastAsia" w:ascii="仿宋_GB2312" w:hAnsi="仿宋_GB2312" w:eastAsia="仿宋_GB2312" w:cs="仿宋_GB2312"/>
                <w:b/>
                <w:bCs/>
                <w:sz w:val="21"/>
                <w:szCs w:val="21"/>
                <w:vertAlign w:val="baseline"/>
                <w:lang w:val="en-US" w:eastAsia="zh-CN"/>
              </w:rPr>
              <w:t>备注</w:t>
            </w:r>
          </w:p>
        </w:tc>
      </w:tr>
      <w:tr w14:paraId="30033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3" w:type="dxa"/>
          </w:tcPr>
          <w:p w14:paraId="730034A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b w:val="0"/>
                <w:bCs w:val="0"/>
                <w:sz w:val="21"/>
                <w:szCs w:val="21"/>
                <w:vertAlign w:val="baseline"/>
              </w:rPr>
            </w:pPr>
          </w:p>
        </w:tc>
        <w:tc>
          <w:tcPr>
            <w:tcW w:w="1270" w:type="dxa"/>
          </w:tcPr>
          <w:p w14:paraId="3AA2C67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b w:val="0"/>
                <w:bCs w:val="0"/>
                <w:sz w:val="21"/>
                <w:szCs w:val="21"/>
                <w:vertAlign w:val="baseline"/>
              </w:rPr>
            </w:pPr>
          </w:p>
        </w:tc>
        <w:tc>
          <w:tcPr>
            <w:tcW w:w="947" w:type="dxa"/>
          </w:tcPr>
          <w:p w14:paraId="021FA00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b w:val="0"/>
                <w:bCs w:val="0"/>
                <w:sz w:val="21"/>
                <w:szCs w:val="21"/>
                <w:vertAlign w:val="baseline"/>
              </w:rPr>
            </w:pPr>
          </w:p>
        </w:tc>
        <w:tc>
          <w:tcPr>
            <w:tcW w:w="947" w:type="dxa"/>
          </w:tcPr>
          <w:p w14:paraId="5CACCF1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b w:val="0"/>
                <w:bCs w:val="0"/>
                <w:sz w:val="21"/>
                <w:szCs w:val="21"/>
                <w:vertAlign w:val="baseline"/>
              </w:rPr>
            </w:pPr>
          </w:p>
        </w:tc>
        <w:tc>
          <w:tcPr>
            <w:tcW w:w="947" w:type="dxa"/>
          </w:tcPr>
          <w:p w14:paraId="07BADDB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b w:val="0"/>
                <w:bCs w:val="0"/>
                <w:sz w:val="21"/>
                <w:szCs w:val="21"/>
                <w:vertAlign w:val="baseline"/>
              </w:rPr>
            </w:pPr>
          </w:p>
        </w:tc>
        <w:tc>
          <w:tcPr>
            <w:tcW w:w="947" w:type="dxa"/>
          </w:tcPr>
          <w:p w14:paraId="4CBFB5D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b w:val="0"/>
                <w:bCs w:val="0"/>
                <w:sz w:val="21"/>
                <w:szCs w:val="21"/>
                <w:vertAlign w:val="baseline"/>
              </w:rPr>
            </w:pPr>
          </w:p>
        </w:tc>
        <w:tc>
          <w:tcPr>
            <w:tcW w:w="947" w:type="dxa"/>
          </w:tcPr>
          <w:p w14:paraId="6F80172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b w:val="0"/>
                <w:bCs w:val="0"/>
                <w:sz w:val="21"/>
                <w:szCs w:val="21"/>
                <w:vertAlign w:val="baseline"/>
              </w:rPr>
            </w:pPr>
          </w:p>
        </w:tc>
        <w:tc>
          <w:tcPr>
            <w:tcW w:w="947" w:type="dxa"/>
          </w:tcPr>
          <w:p w14:paraId="07367D7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b w:val="0"/>
                <w:bCs w:val="0"/>
                <w:sz w:val="21"/>
                <w:szCs w:val="21"/>
                <w:vertAlign w:val="baseline"/>
              </w:rPr>
            </w:pPr>
          </w:p>
        </w:tc>
        <w:tc>
          <w:tcPr>
            <w:tcW w:w="947" w:type="dxa"/>
          </w:tcPr>
          <w:p w14:paraId="1278B21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b w:val="0"/>
                <w:bCs w:val="0"/>
                <w:sz w:val="21"/>
                <w:szCs w:val="21"/>
                <w:vertAlign w:val="baseline"/>
              </w:rPr>
            </w:pPr>
          </w:p>
        </w:tc>
      </w:tr>
      <w:tr w14:paraId="2BD2D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3" w:type="dxa"/>
          </w:tcPr>
          <w:p w14:paraId="341CF73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b w:val="0"/>
                <w:bCs w:val="0"/>
                <w:sz w:val="21"/>
                <w:szCs w:val="21"/>
                <w:vertAlign w:val="baseline"/>
              </w:rPr>
            </w:pPr>
          </w:p>
        </w:tc>
        <w:tc>
          <w:tcPr>
            <w:tcW w:w="1270" w:type="dxa"/>
          </w:tcPr>
          <w:p w14:paraId="4504D01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b w:val="0"/>
                <w:bCs w:val="0"/>
                <w:sz w:val="21"/>
                <w:szCs w:val="21"/>
                <w:vertAlign w:val="baseline"/>
              </w:rPr>
            </w:pPr>
          </w:p>
        </w:tc>
        <w:tc>
          <w:tcPr>
            <w:tcW w:w="947" w:type="dxa"/>
          </w:tcPr>
          <w:p w14:paraId="4D4C267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b w:val="0"/>
                <w:bCs w:val="0"/>
                <w:sz w:val="21"/>
                <w:szCs w:val="21"/>
                <w:vertAlign w:val="baseline"/>
              </w:rPr>
            </w:pPr>
          </w:p>
        </w:tc>
        <w:tc>
          <w:tcPr>
            <w:tcW w:w="947" w:type="dxa"/>
          </w:tcPr>
          <w:p w14:paraId="1205E2C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b w:val="0"/>
                <w:bCs w:val="0"/>
                <w:sz w:val="21"/>
                <w:szCs w:val="21"/>
                <w:vertAlign w:val="baseline"/>
              </w:rPr>
            </w:pPr>
          </w:p>
        </w:tc>
        <w:tc>
          <w:tcPr>
            <w:tcW w:w="947" w:type="dxa"/>
          </w:tcPr>
          <w:p w14:paraId="696239A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b w:val="0"/>
                <w:bCs w:val="0"/>
                <w:sz w:val="21"/>
                <w:szCs w:val="21"/>
                <w:vertAlign w:val="baseline"/>
              </w:rPr>
            </w:pPr>
          </w:p>
        </w:tc>
        <w:tc>
          <w:tcPr>
            <w:tcW w:w="947" w:type="dxa"/>
          </w:tcPr>
          <w:p w14:paraId="1F8DD45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b w:val="0"/>
                <w:bCs w:val="0"/>
                <w:sz w:val="21"/>
                <w:szCs w:val="21"/>
                <w:vertAlign w:val="baseline"/>
              </w:rPr>
            </w:pPr>
          </w:p>
        </w:tc>
        <w:tc>
          <w:tcPr>
            <w:tcW w:w="947" w:type="dxa"/>
          </w:tcPr>
          <w:p w14:paraId="1082402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b w:val="0"/>
                <w:bCs w:val="0"/>
                <w:sz w:val="21"/>
                <w:szCs w:val="21"/>
                <w:vertAlign w:val="baseline"/>
              </w:rPr>
            </w:pPr>
          </w:p>
        </w:tc>
        <w:tc>
          <w:tcPr>
            <w:tcW w:w="947" w:type="dxa"/>
          </w:tcPr>
          <w:p w14:paraId="054922B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b w:val="0"/>
                <w:bCs w:val="0"/>
                <w:sz w:val="21"/>
                <w:szCs w:val="21"/>
                <w:vertAlign w:val="baseline"/>
              </w:rPr>
            </w:pPr>
          </w:p>
        </w:tc>
        <w:tc>
          <w:tcPr>
            <w:tcW w:w="947" w:type="dxa"/>
          </w:tcPr>
          <w:p w14:paraId="4DA5A1E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b w:val="0"/>
                <w:bCs w:val="0"/>
                <w:sz w:val="21"/>
                <w:szCs w:val="21"/>
                <w:vertAlign w:val="baseline"/>
              </w:rPr>
            </w:pPr>
          </w:p>
        </w:tc>
      </w:tr>
      <w:tr w14:paraId="7B1B0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3" w:type="dxa"/>
          </w:tcPr>
          <w:p w14:paraId="7188162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b w:val="0"/>
                <w:bCs w:val="0"/>
                <w:sz w:val="21"/>
                <w:szCs w:val="21"/>
                <w:vertAlign w:val="baseline"/>
              </w:rPr>
            </w:pPr>
          </w:p>
        </w:tc>
        <w:tc>
          <w:tcPr>
            <w:tcW w:w="1270" w:type="dxa"/>
          </w:tcPr>
          <w:p w14:paraId="7FFBD27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b w:val="0"/>
                <w:bCs w:val="0"/>
                <w:sz w:val="21"/>
                <w:szCs w:val="21"/>
                <w:vertAlign w:val="baseline"/>
              </w:rPr>
            </w:pPr>
          </w:p>
        </w:tc>
        <w:tc>
          <w:tcPr>
            <w:tcW w:w="947" w:type="dxa"/>
          </w:tcPr>
          <w:p w14:paraId="4AA00F4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b w:val="0"/>
                <w:bCs w:val="0"/>
                <w:sz w:val="21"/>
                <w:szCs w:val="21"/>
                <w:vertAlign w:val="baseline"/>
              </w:rPr>
            </w:pPr>
          </w:p>
        </w:tc>
        <w:tc>
          <w:tcPr>
            <w:tcW w:w="947" w:type="dxa"/>
          </w:tcPr>
          <w:p w14:paraId="6372460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b w:val="0"/>
                <w:bCs w:val="0"/>
                <w:sz w:val="21"/>
                <w:szCs w:val="21"/>
                <w:vertAlign w:val="baseline"/>
              </w:rPr>
            </w:pPr>
          </w:p>
        </w:tc>
        <w:tc>
          <w:tcPr>
            <w:tcW w:w="947" w:type="dxa"/>
          </w:tcPr>
          <w:p w14:paraId="034ED06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b w:val="0"/>
                <w:bCs w:val="0"/>
                <w:sz w:val="21"/>
                <w:szCs w:val="21"/>
                <w:vertAlign w:val="baseline"/>
              </w:rPr>
            </w:pPr>
          </w:p>
        </w:tc>
        <w:tc>
          <w:tcPr>
            <w:tcW w:w="947" w:type="dxa"/>
          </w:tcPr>
          <w:p w14:paraId="3EACA04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b w:val="0"/>
                <w:bCs w:val="0"/>
                <w:sz w:val="21"/>
                <w:szCs w:val="21"/>
                <w:vertAlign w:val="baseline"/>
              </w:rPr>
            </w:pPr>
          </w:p>
        </w:tc>
        <w:tc>
          <w:tcPr>
            <w:tcW w:w="947" w:type="dxa"/>
          </w:tcPr>
          <w:p w14:paraId="48D9A05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b w:val="0"/>
                <w:bCs w:val="0"/>
                <w:sz w:val="21"/>
                <w:szCs w:val="21"/>
                <w:vertAlign w:val="baseline"/>
              </w:rPr>
            </w:pPr>
          </w:p>
        </w:tc>
        <w:tc>
          <w:tcPr>
            <w:tcW w:w="947" w:type="dxa"/>
          </w:tcPr>
          <w:p w14:paraId="4EAD598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b w:val="0"/>
                <w:bCs w:val="0"/>
                <w:sz w:val="21"/>
                <w:szCs w:val="21"/>
                <w:vertAlign w:val="baseline"/>
              </w:rPr>
            </w:pPr>
          </w:p>
        </w:tc>
        <w:tc>
          <w:tcPr>
            <w:tcW w:w="947" w:type="dxa"/>
          </w:tcPr>
          <w:p w14:paraId="2278095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b w:val="0"/>
                <w:bCs w:val="0"/>
                <w:sz w:val="21"/>
                <w:szCs w:val="21"/>
                <w:vertAlign w:val="baseline"/>
              </w:rPr>
            </w:pPr>
          </w:p>
        </w:tc>
      </w:tr>
      <w:tr w14:paraId="3CD42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5" w:hRule="atLeast"/>
        </w:trPr>
        <w:tc>
          <w:tcPr>
            <w:tcW w:w="623" w:type="dxa"/>
          </w:tcPr>
          <w:p w14:paraId="4CEB4AE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合计</w:t>
            </w:r>
          </w:p>
        </w:tc>
        <w:tc>
          <w:tcPr>
            <w:tcW w:w="7899" w:type="dxa"/>
            <w:gridSpan w:val="8"/>
          </w:tcPr>
          <w:p w14:paraId="23D9F57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b w:val="0"/>
                <w:bCs w:val="0"/>
                <w:sz w:val="21"/>
                <w:szCs w:val="21"/>
                <w:vertAlign w:val="baseline"/>
                <w:lang w:val="en-US" w:eastAsia="zh-CN"/>
              </w:rPr>
              <w:t>总价：</w:t>
            </w:r>
            <w:r>
              <w:rPr>
                <w:rFonts w:hint="eastAsia" w:ascii="仿宋_GB2312" w:hAnsi="仿宋_GB2312" w:eastAsia="仿宋_GB2312" w:cs="仿宋_GB2312"/>
                <w:sz w:val="21"/>
                <w:szCs w:val="21"/>
                <w:highlight w:val="none"/>
              </w:rPr>
              <w:t>¥</w:t>
            </w:r>
            <w:r>
              <w:rPr>
                <w:rFonts w:hint="eastAsia" w:ascii="仿宋_GB2312" w:hAnsi="仿宋_GB2312" w:eastAsia="仿宋_GB2312" w:cs="仿宋_GB2312"/>
                <w:sz w:val="21"/>
                <w:szCs w:val="21"/>
                <w:highlight w:val="none"/>
                <w:lang w:val="en-US" w:eastAsia="zh-CN"/>
              </w:rPr>
              <w:t xml:space="preserve">              大写：        </w:t>
            </w:r>
          </w:p>
          <w:p w14:paraId="158C056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t>本项目总价包括但不限于税费、运输、保险、安装、调试、技术支持、质量保障、售后 服务、培训、系统接口费用、验收和合同中规定乙方应承担的其他义务的费用已由乙方 计入本合同总金额中</w:t>
            </w:r>
          </w:p>
        </w:tc>
      </w:tr>
    </w:tbl>
    <w:p w14:paraId="7597985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jc w:val="left"/>
        <w:textAlignment w:val="auto"/>
        <w:rPr>
          <w:rFonts w:hint="eastAsia" w:ascii="仿宋_GB2312" w:hAnsi="仿宋_GB2312" w:eastAsia="仿宋_GB2312" w:cs="仿宋_GB2312"/>
          <w:b/>
          <w:bCs/>
          <w:sz w:val="21"/>
          <w:szCs w:val="21"/>
        </w:rPr>
      </w:pPr>
      <w:r>
        <w:rPr>
          <w:rFonts w:hint="eastAsia" w:ascii="仿宋_GB2312" w:hAnsi="仿宋_GB2312" w:eastAsia="仿宋_GB2312" w:cs="仿宋_GB2312"/>
          <w:b/>
          <w:bCs/>
          <w:kern w:val="2"/>
          <w:sz w:val="21"/>
          <w:szCs w:val="21"/>
          <w:lang w:val="en-US" w:eastAsia="zh-CN" w:bidi="ar-SA"/>
        </w:rPr>
        <w:t>二、</w:t>
      </w:r>
      <w:r>
        <w:rPr>
          <w:rFonts w:hint="eastAsia" w:ascii="仿宋_GB2312" w:hAnsi="仿宋_GB2312" w:eastAsia="仿宋_GB2312" w:cs="仿宋_GB2312"/>
          <w:b/>
          <w:bCs/>
          <w:sz w:val="21"/>
          <w:szCs w:val="21"/>
        </w:rPr>
        <w:t>质量要求及技术标准</w:t>
      </w:r>
    </w:p>
    <w:p w14:paraId="78877FC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(一)设备的质量技术标准按国家法律法规规定的标准及该产品说明书相关 规定执行，设备及材料必须保证质量可靠、进货渠道正常，配置合理，满足标书 要求。</w:t>
      </w:r>
    </w:p>
    <w:p w14:paraId="38115A4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(二)乙方应当保证所供设备的米源渠道正常，设备应为</w:t>
      </w:r>
      <w:r>
        <w:rPr>
          <w:rFonts w:hint="eastAsia" w:ascii="仿宋_GB2312" w:hAnsi="仿宋_GB2312" w:eastAsia="仿宋_GB2312" w:cs="仿宋_GB2312"/>
          <w:b w:val="0"/>
          <w:bCs w:val="0"/>
          <w:sz w:val="21"/>
          <w:szCs w:val="21"/>
          <w:u w:val="single"/>
        </w:rPr>
        <w:t xml:space="preserve"> 2026 </w:t>
      </w:r>
      <w:r>
        <w:rPr>
          <w:rFonts w:hint="eastAsia" w:ascii="仿宋_GB2312" w:hAnsi="仿宋_GB2312" w:eastAsia="仿宋_GB2312" w:cs="仿宋_GB2312"/>
          <w:b w:val="0"/>
          <w:bCs w:val="0"/>
          <w:sz w:val="21"/>
          <w:szCs w:val="21"/>
        </w:rPr>
        <w:t>年后生产的、全新的、未使用过的、完全符合合同规定的质量、规格、技术指标等要求，并在质保期内应对产品因所用原材料或加工工艺造成的质量和内外观缺陷问题，由乙方负责解决并承担费用，如需将设备送回生产厂家，乙方还应支付维修设备所需的往返费用。</w:t>
      </w:r>
    </w:p>
    <w:p w14:paraId="39B44AF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(三)乙方应按生产厂家保修规定的服务承诺做好免费保修等服务。乙方设备交付、安装完成后，经甲方验收合格，所购买设备免费质保如下：</w:t>
      </w:r>
    </w:p>
    <w:p w14:paraId="21986BB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产品全套质保≥3年，全部软件终身免费升级。</w:t>
      </w:r>
    </w:p>
    <w:p w14:paraId="7593992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jc w:val="left"/>
        <w:textAlignment w:val="auto"/>
        <w:rPr>
          <w:rFonts w:hint="eastAsia" w:ascii="仿宋_GB2312" w:hAnsi="仿宋_GB2312" w:eastAsia="仿宋_GB2312" w:cs="仿宋_GB2312"/>
          <w:b/>
          <w:bCs/>
          <w:color w:val="auto"/>
          <w:sz w:val="21"/>
          <w:szCs w:val="21"/>
          <w:highlight w:val="none"/>
          <w:lang w:val="en-US" w:eastAsia="zh-CN"/>
        </w:rPr>
      </w:pPr>
      <w:r>
        <w:rPr>
          <w:rFonts w:hint="eastAsia" w:ascii="仿宋_GB2312" w:hAnsi="仿宋_GB2312" w:eastAsia="仿宋_GB2312" w:cs="仿宋_GB2312"/>
          <w:b/>
          <w:bCs/>
          <w:color w:val="auto"/>
          <w:kern w:val="2"/>
          <w:sz w:val="21"/>
          <w:szCs w:val="21"/>
          <w:lang w:val="en-US" w:eastAsia="zh-CN" w:bidi="ar-SA"/>
        </w:rPr>
        <w:t>三、</w:t>
      </w:r>
      <w:r>
        <w:rPr>
          <w:rFonts w:hint="eastAsia" w:ascii="仿宋_GB2312" w:hAnsi="仿宋_GB2312" w:eastAsia="仿宋_GB2312" w:cs="仿宋_GB2312"/>
          <w:b/>
          <w:bCs/>
          <w:color w:val="auto"/>
          <w:sz w:val="21"/>
          <w:szCs w:val="21"/>
          <w:highlight w:val="none"/>
          <w:lang w:val="en-US" w:eastAsia="zh-CN"/>
        </w:rPr>
        <w:t>交货地点及方式</w:t>
      </w:r>
    </w:p>
    <w:p w14:paraId="7136FEE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仿宋_GB2312" w:hAnsi="仿宋_GB2312" w:eastAsia="仿宋_GB2312" w:cs="仿宋_GB2312"/>
          <w:b w:val="0"/>
          <w:bCs w:val="0"/>
          <w:color w:val="auto"/>
          <w:sz w:val="21"/>
          <w:szCs w:val="21"/>
          <w:highlight w:val="none"/>
          <w:lang w:val="en-US" w:eastAsia="zh-CN"/>
        </w:rPr>
      </w:pPr>
      <w:r>
        <w:rPr>
          <w:rFonts w:hint="eastAsia" w:ascii="仿宋_GB2312" w:hAnsi="仿宋_GB2312" w:eastAsia="仿宋_GB2312" w:cs="仿宋_GB2312"/>
          <w:b w:val="0"/>
          <w:bCs w:val="0"/>
          <w:color w:val="auto"/>
          <w:sz w:val="21"/>
          <w:szCs w:val="21"/>
          <w:highlight w:val="none"/>
          <w:lang w:val="en-US" w:eastAsia="zh-CN"/>
        </w:rPr>
        <w:t>(一)交货地点： 西安医学院第三附属医院。</w:t>
      </w:r>
    </w:p>
    <w:p w14:paraId="710E82D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仿宋_GB2312" w:hAnsi="仿宋_GB2312" w:eastAsia="仿宋_GB2312" w:cs="仿宋_GB2312"/>
          <w:b w:val="0"/>
          <w:bCs w:val="0"/>
          <w:color w:val="auto"/>
          <w:sz w:val="21"/>
          <w:szCs w:val="21"/>
          <w:highlight w:val="none"/>
          <w:lang w:val="en-US" w:eastAsia="zh-CN"/>
        </w:rPr>
      </w:pPr>
      <w:r>
        <w:rPr>
          <w:rFonts w:hint="eastAsia" w:ascii="仿宋_GB2312" w:hAnsi="仿宋_GB2312" w:eastAsia="仿宋_GB2312" w:cs="仿宋_GB2312"/>
          <w:b w:val="0"/>
          <w:bCs w:val="0"/>
          <w:color w:val="auto"/>
          <w:sz w:val="21"/>
          <w:szCs w:val="21"/>
          <w:highlight w:val="none"/>
          <w:lang w:val="en-US" w:eastAsia="zh-CN"/>
        </w:rPr>
        <w:t>(二)交货期：合同签订后30日内须完成供货、安装与调试，并提供现场操作培训。</w:t>
      </w:r>
    </w:p>
    <w:p w14:paraId="65C66DF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仿宋_GB2312" w:hAnsi="仿宋_GB2312" w:eastAsia="仿宋_GB2312" w:cs="仿宋_GB2312"/>
          <w:b w:val="0"/>
          <w:bCs w:val="0"/>
          <w:color w:val="auto"/>
          <w:sz w:val="21"/>
          <w:szCs w:val="21"/>
          <w:highlight w:val="none"/>
          <w:lang w:val="en-US" w:eastAsia="zh-CN"/>
        </w:rPr>
      </w:pPr>
      <w:r>
        <w:rPr>
          <w:rFonts w:hint="eastAsia" w:ascii="仿宋_GB2312" w:hAnsi="仿宋_GB2312" w:eastAsia="仿宋_GB2312" w:cs="仿宋_GB2312"/>
          <w:b w:val="0"/>
          <w:bCs w:val="0"/>
          <w:color w:val="auto"/>
          <w:sz w:val="21"/>
          <w:szCs w:val="21"/>
          <w:highlight w:val="none"/>
          <w:lang w:val="en-US" w:eastAsia="zh-CN"/>
        </w:rPr>
        <w:t>四、包装标准及要求、费用负担</w:t>
      </w:r>
    </w:p>
    <w:p w14:paraId="248BE93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仿宋_GB2312" w:hAnsi="仿宋_GB2312" w:eastAsia="仿宋_GB2312" w:cs="仿宋_GB2312"/>
          <w:b w:val="0"/>
          <w:bCs w:val="0"/>
          <w:color w:val="auto"/>
          <w:sz w:val="21"/>
          <w:szCs w:val="21"/>
          <w:highlight w:val="none"/>
          <w:lang w:val="en-US" w:eastAsia="zh-CN"/>
        </w:rPr>
      </w:pPr>
      <w:r>
        <w:rPr>
          <w:rFonts w:hint="eastAsia" w:ascii="仿宋_GB2312" w:hAnsi="仿宋_GB2312" w:eastAsia="仿宋_GB2312" w:cs="仿宋_GB2312"/>
          <w:b w:val="0"/>
          <w:bCs w:val="0"/>
          <w:color w:val="auto"/>
          <w:sz w:val="21"/>
          <w:szCs w:val="21"/>
          <w:highlight w:val="none"/>
          <w:lang w:val="en-US" w:eastAsia="zh-CN"/>
        </w:rPr>
        <w:t>(一)乙方应在货物发运前对其进行满足运输距离、防潮、防震、防锈和防破损装卸等要求包装，以保证货物安全运达甲方指定地点。</w:t>
      </w:r>
    </w:p>
    <w:p w14:paraId="7076E13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仿宋_GB2312" w:hAnsi="仿宋_GB2312" w:eastAsia="仿宋_GB2312" w:cs="仿宋_GB2312"/>
          <w:b w:val="0"/>
          <w:bCs w:val="0"/>
          <w:color w:val="auto"/>
          <w:sz w:val="21"/>
          <w:szCs w:val="21"/>
          <w:highlight w:val="none"/>
          <w:lang w:val="en-US" w:eastAsia="zh-CN"/>
        </w:rPr>
      </w:pPr>
      <w:r>
        <w:rPr>
          <w:rFonts w:hint="eastAsia" w:ascii="仿宋_GB2312" w:hAnsi="仿宋_GB2312" w:eastAsia="仿宋_GB2312" w:cs="仿宋_GB2312"/>
          <w:b w:val="0"/>
          <w:bCs w:val="0"/>
          <w:color w:val="auto"/>
          <w:sz w:val="21"/>
          <w:szCs w:val="21"/>
          <w:highlight w:val="none"/>
          <w:lang w:val="en-US" w:eastAsia="zh-CN"/>
        </w:rPr>
        <w:t>(二)使用说明书、质量检验证明书、随配附件和工具以及清单一并附于货物内。</w:t>
      </w:r>
    </w:p>
    <w:p w14:paraId="3B89511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仿宋_GB2312" w:hAnsi="仿宋_GB2312" w:eastAsia="仿宋_GB2312" w:cs="仿宋_GB2312"/>
          <w:b w:val="0"/>
          <w:bCs w:val="0"/>
          <w:color w:val="auto"/>
          <w:sz w:val="21"/>
          <w:szCs w:val="21"/>
          <w:highlight w:val="none"/>
          <w:lang w:val="en-US" w:eastAsia="zh-CN"/>
        </w:rPr>
      </w:pPr>
      <w:r>
        <w:rPr>
          <w:rFonts w:hint="eastAsia" w:ascii="仿宋_GB2312" w:hAnsi="仿宋_GB2312" w:eastAsia="仿宋_GB2312" w:cs="仿宋_GB2312"/>
          <w:b w:val="0"/>
          <w:bCs w:val="0"/>
          <w:color w:val="auto"/>
          <w:sz w:val="21"/>
          <w:szCs w:val="21"/>
          <w:highlight w:val="none"/>
          <w:lang w:val="en-US" w:eastAsia="zh-CN"/>
        </w:rPr>
        <w:t>(三)乙方在货物发运手续办理完毕后24小时内或货到甲方48小时前通知甲方，以准备接货。(四)货物在交付甲方前发生的风险均由乙方负责。</w:t>
      </w:r>
    </w:p>
    <w:p w14:paraId="19F1D13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仿宋_GB2312" w:hAnsi="仿宋_GB2312" w:eastAsia="仿宋_GB2312" w:cs="仿宋_GB2312"/>
          <w:b w:val="0"/>
          <w:bCs w:val="0"/>
          <w:color w:val="auto"/>
          <w:sz w:val="21"/>
          <w:szCs w:val="21"/>
          <w:highlight w:val="none"/>
          <w:lang w:val="en-US" w:eastAsia="zh-CN"/>
        </w:rPr>
      </w:pPr>
      <w:r>
        <w:rPr>
          <w:rFonts w:hint="eastAsia" w:ascii="仿宋_GB2312" w:hAnsi="仿宋_GB2312" w:eastAsia="仿宋_GB2312" w:cs="仿宋_GB2312"/>
          <w:b w:val="0"/>
          <w:bCs w:val="0"/>
          <w:color w:val="auto"/>
          <w:sz w:val="21"/>
          <w:szCs w:val="21"/>
          <w:highlight w:val="none"/>
          <w:lang w:val="en-US" w:eastAsia="zh-CN"/>
        </w:rPr>
        <w:t>五、运输方式及到达站港、费用负担</w:t>
      </w:r>
    </w:p>
    <w:p w14:paraId="475DB9B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仿宋_GB2312" w:hAnsi="仿宋_GB2312" w:eastAsia="仿宋_GB2312" w:cs="仿宋_GB2312"/>
          <w:b w:val="0"/>
          <w:bCs w:val="0"/>
          <w:color w:val="auto"/>
          <w:sz w:val="21"/>
          <w:szCs w:val="21"/>
          <w:highlight w:val="none"/>
          <w:lang w:val="en-US" w:eastAsia="zh-CN"/>
        </w:rPr>
      </w:pPr>
      <w:r>
        <w:rPr>
          <w:rFonts w:hint="eastAsia" w:ascii="仿宋_GB2312" w:hAnsi="仿宋_GB2312" w:eastAsia="仿宋_GB2312" w:cs="仿宋_GB2312"/>
          <w:b w:val="0"/>
          <w:bCs w:val="0"/>
          <w:color w:val="auto"/>
          <w:sz w:val="21"/>
          <w:szCs w:val="21"/>
          <w:highlight w:val="none"/>
          <w:lang w:val="en-US" w:eastAsia="zh-CN"/>
        </w:rPr>
        <w:t>(一)运输由乙方负责，运杂费已包含在合同总价内，包括从货物供应地点所含的运输费、装卸费、仓储费、保险费等所有费用。</w:t>
      </w:r>
    </w:p>
    <w:p w14:paraId="66C2E01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仿宋_GB2312" w:hAnsi="仿宋_GB2312" w:eastAsia="仿宋_GB2312" w:cs="仿宋_GB2312"/>
          <w:b w:val="0"/>
          <w:bCs w:val="0"/>
          <w:color w:val="auto"/>
          <w:sz w:val="21"/>
          <w:szCs w:val="21"/>
          <w:highlight w:val="none"/>
          <w:lang w:val="en-US" w:eastAsia="zh-CN"/>
        </w:rPr>
      </w:pPr>
      <w:r>
        <w:rPr>
          <w:rFonts w:hint="eastAsia" w:ascii="仿宋_GB2312" w:hAnsi="仿宋_GB2312" w:eastAsia="仿宋_GB2312" w:cs="仿宋_GB2312"/>
          <w:b w:val="0"/>
          <w:bCs w:val="0"/>
          <w:color w:val="auto"/>
          <w:sz w:val="21"/>
          <w:szCs w:val="21"/>
          <w:highlight w:val="none"/>
          <w:lang w:val="en-US" w:eastAsia="zh-CN"/>
        </w:rPr>
        <w:t>(二)运输方式由乙方自行选择，但必须保证按期交货。</w:t>
      </w:r>
    </w:p>
    <w:p w14:paraId="569BF73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仿宋_GB2312" w:hAnsi="仿宋_GB2312" w:eastAsia="仿宋_GB2312" w:cs="仿宋_GB2312"/>
          <w:b w:val="0"/>
          <w:bCs w:val="0"/>
          <w:color w:val="auto"/>
          <w:sz w:val="21"/>
          <w:szCs w:val="21"/>
          <w:highlight w:val="none"/>
          <w:lang w:val="en-US" w:eastAsia="zh-CN"/>
        </w:rPr>
      </w:pPr>
      <w:r>
        <w:rPr>
          <w:rFonts w:hint="eastAsia" w:ascii="仿宋_GB2312" w:hAnsi="仿宋_GB2312" w:eastAsia="仿宋_GB2312" w:cs="仿宋_GB2312"/>
          <w:b w:val="0"/>
          <w:bCs w:val="0"/>
          <w:color w:val="auto"/>
          <w:sz w:val="21"/>
          <w:szCs w:val="21"/>
          <w:highlight w:val="none"/>
          <w:lang w:val="en-US" w:eastAsia="zh-CN"/>
        </w:rPr>
        <w:t>六、验收标准、方法、证明文件及提出异议期限</w:t>
      </w:r>
    </w:p>
    <w:p w14:paraId="7D777B9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仿宋_GB2312" w:hAnsi="仿宋_GB2312" w:eastAsia="仿宋_GB2312" w:cs="仿宋_GB2312"/>
          <w:b w:val="0"/>
          <w:bCs w:val="0"/>
          <w:color w:val="auto"/>
          <w:sz w:val="21"/>
          <w:szCs w:val="21"/>
          <w:highlight w:val="none"/>
          <w:lang w:val="en-US" w:eastAsia="zh-CN"/>
        </w:rPr>
      </w:pPr>
      <w:r>
        <w:rPr>
          <w:rFonts w:hint="eastAsia" w:ascii="仿宋_GB2312" w:hAnsi="仿宋_GB2312" w:eastAsia="仿宋_GB2312" w:cs="仿宋_GB2312"/>
          <w:b w:val="0"/>
          <w:bCs w:val="0"/>
          <w:color w:val="auto"/>
          <w:sz w:val="21"/>
          <w:szCs w:val="21"/>
          <w:highlight w:val="none"/>
          <w:lang w:val="en-US" w:eastAsia="zh-CN"/>
        </w:rPr>
        <w:t>(一)货物到达甲方指定地点后，甲方根据合同要求，进行外观验收，确认产地、规格、型号和数量。</w:t>
      </w:r>
    </w:p>
    <w:p w14:paraId="23B563D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仿宋_GB2312" w:hAnsi="仿宋_GB2312" w:eastAsia="仿宋_GB2312" w:cs="仿宋_GB2312"/>
          <w:b w:val="0"/>
          <w:bCs w:val="0"/>
          <w:color w:val="auto"/>
          <w:sz w:val="21"/>
          <w:szCs w:val="21"/>
          <w:highlight w:val="none"/>
          <w:lang w:val="en-US" w:eastAsia="zh-CN"/>
        </w:rPr>
      </w:pPr>
      <w:r>
        <w:rPr>
          <w:rFonts w:hint="eastAsia" w:ascii="仿宋_GB2312" w:hAnsi="仿宋_GB2312" w:eastAsia="仿宋_GB2312" w:cs="仿宋_GB2312"/>
          <w:b w:val="0"/>
          <w:bCs w:val="0"/>
          <w:color w:val="auto"/>
          <w:sz w:val="21"/>
          <w:szCs w:val="21"/>
          <w:highlight w:val="none"/>
          <w:lang w:val="en-US" w:eastAsia="zh-CN"/>
        </w:rPr>
        <w:t>(二)甲方确认货物情况相符后，乙方组织进行系统验收并填写验收单。</w:t>
      </w:r>
    </w:p>
    <w:p w14:paraId="5399D12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仿宋_GB2312" w:hAnsi="仿宋_GB2312" w:eastAsia="仿宋_GB2312" w:cs="仿宋_GB2312"/>
          <w:b w:val="0"/>
          <w:bCs w:val="0"/>
          <w:color w:val="auto"/>
          <w:sz w:val="21"/>
          <w:szCs w:val="21"/>
          <w:highlight w:val="none"/>
          <w:lang w:val="en-US" w:eastAsia="zh-CN"/>
        </w:rPr>
      </w:pPr>
      <w:r>
        <w:rPr>
          <w:rFonts w:hint="eastAsia" w:ascii="仿宋_GB2312" w:hAnsi="仿宋_GB2312" w:eastAsia="仿宋_GB2312" w:cs="仿宋_GB2312"/>
          <w:b w:val="0"/>
          <w:bCs w:val="0"/>
          <w:color w:val="auto"/>
          <w:sz w:val="21"/>
          <w:szCs w:val="21"/>
          <w:highlight w:val="none"/>
          <w:lang w:val="en-US" w:eastAsia="zh-CN"/>
        </w:rPr>
        <w:t>(三)乙方向甲方提交货物实施过程中的所有资料(设备合格证、装箱清单、操作手册、使用说明、检测报告、维护手册、服务指南等),以便甲方日后管理和维护。</w:t>
      </w:r>
    </w:p>
    <w:p w14:paraId="4847B42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仿宋_GB2312" w:hAnsi="仿宋_GB2312" w:eastAsia="仿宋_GB2312" w:cs="仿宋_GB2312"/>
          <w:b w:val="0"/>
          <w:bCs w:val="0"/>
          <w:color w:val="auto"/>
          <w:sz w:val="21"/>
          <w:szCs w:val="21"/>
          <w:highlight w:val="none"/>
          <w:lang w:val="en-US" w:eastAsia="zh-CN"/>
        </w:rPr>
      </w:pPr>
      <w:r>
        <w:rPr>
          <w:rFonts w:hint="eastAsia" w:ascii="仿宋_GB2312" w:hAnsi="仿宋_GB2312" w:eastAsia="仿宋_GB2312" w:cs="仿宋_GB2312"/>
          <w:b w:val="0"/>
          <w:bCs w:val="0"/>
          <w:color w:val="auto"/>
          <w:sz w:val="21"/>
          <w:szCs w:val="21"/>
          <w:highlight w:val="none"/>
          <w:lang w:val="en-US" w:eastAsia="zh-CN"/>
        </w:rPr>
        <w:t>(四)验收依据：</w:t>
      </w:r>
    </w:p>
    <w:p w14:paraId="543E1DE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仿宋_GB2312" w:hAnsi="仿宋_GB2312" w:eastAsia="仿宋_GB2312" w:cs="仿宋_GB2312"/>
          <w:b w:val="0"/>
          <w:bCs w:val="0"/>
          <w:color w:val="auto"/>
          <w:sz w:val="21"/>
          <w:szCs w:val="21"/>
          <w:highlight w:val="none"/>
          <w:lang w:val="en-US" w:eastAsia="zh-CN"/>
        </w:rPr>
      </w:pPr>
      <w:r>
        <w:rPr>
          <w:rFonts w:hint="eastAsia" w:ascii="仿宋_GB2312" w:hAnsi="仿宋_GB2312" w:eastAsia="仿宋_GB2312" w:cs="仿宋_GB2312"/>
          <w:b w:val="0"/>
          <w:bCs w:val="0"/>
          <w:color w:val="auto"/>
          <w:sz w:val="21"/>
          <w:szCs w:val="21"/>
          <w:highlight w:val="none"/>
          <w:lang w:val="en-US" w:eastAsia="zh-CN"/>
        </w:rPr>
        <w:t>1、招投标文件；</w:t>
      </w:r>
    </w:p>
    <w:p w14:paraId="2AFC4D0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仿宋_GB2312" w:hAnsi="仿宋_GB2312" w:eastAsia="仿宋_GB2312" w:cs="仿宋_GB2312"/>
          <w:b w:val="0"/>
          <w:bCs w:val="0"/>
          <w:color w:val="auto"/>
          <w:sz w:val="21"/>
          <w:szCs w:val="21"/>
          <w:highlight w:val="none"/>
          <w:lang w:val="en-US" w:eastAsia="zh-CN"/>
        </w:rPr>
      </w:pPr>
      <w:r>
        <w:rPr>
          <w:rFonts w:hint="eastAsia" w:ascii="仿宋_GB2312" w:hAnsi="仿宋_GB2312" w:eastAsia="仿宋_GB2312" w:cs="仿宋_GB2312"/>
          <w:b w:val="0"/>
          <w:bCs w:val="0"/>
          <w:color w:val="auto"/>
          <w:sz w:val="21"/>
          <w:szCs w:val="21"/>
          <w:highlight w:val="none"/>
          <w:lang w:val="en-US" w:eastAsia="zh-CN"/>
        </w:rPr>
        <w:t>2、本合同及附件文本；</w:t>
      </w:r>
    </w:p>
    <w:p w14:paraId="219F130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仿宋_GB2312" w:hAnsi="仿宋_GB2312" w:eastAsia="仿宋_GB2312" w:cs="仿宋_GB2312"/>
          <w:b w:val="0"/>
          <w:bCs w:val="0"/>
          <w:color w:val="auto"/>
          <w:sz w:val="21"/>
          <w:szCs w:val="21"/>
          <w:highlight w:val="none"/>
          <w:lang w:val="en-US" w:eastAsia="zh-CN"/>
        </w:rPr>
      </w:pPr>
      <w:r>
        <w:rPr>
          <w:rFonts w:hint="eastAsia" w:ascii="仿宋_GB2312" w:hAnsi="仿宋_GB2312" w:eastAsia="仿宋_GB2312" w:cs="仿宋_GB2312"/>
          <w:b w:val="0"/>
          <w:bCs w:val="0"/>
          <w:color w:val="auto"/>
          <w:sz w:val="21"/>
          <w:szCs w:val="21"/>
          <w:highlight w:val="none"/>
          <w:lang w:val="en-US" w:eastAsia="zh-CN"/>
        </w:rPr>
        <w:t>3、国家相应的标准、规范。</w:t>
      </w:r>
    </w:p>
    <w:p w14:paraId="435B160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仿宋_GB2312" w:hAnsi="仿宋_GB2312" w:eastAsia="仿宋_GB2312" w:cs="仿宋_GB2312"/>
          <w:b w:val="0"/>
          <w:bCs w:val="0"/>
          <w:color w:val="auto"/>
          <w:sz w:val="21"/>
          <w:szCs w:val="21"/>
          <w:highlight w:val="none"/>
          <w:lang w:val="en-US" w:eastAsia="zh-CN"/>
        </w:rPr>
      </w:pPr>
      <w:r>
        <w:rPr>
          <w:rFonts w:hint="eastAsia" w:ascii="仿宋_GB2312" w:hAnsi="仿宋_GB2312" w:eastAsia="仿宋_GB2312" w:cs="仿宋_GB2312"/>
          <w:b w:val="0"/>
          <w:bCs w:val="0"/>
          <w:color w:val="auto"/>
          <w:sz w:val="21"/>
          <w:szCs w:val="21"/>
          <w:highlight w:val="none"/>
          <w:lang w:val="en-US" w:eastAsia="zh-CN"/>
        </w:rPr>
        <w:t>七、结算方式及期限</w:t>
      </w:r>
    </w:p>
    <w:p w14:paraId="6FFA913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仿宋_GB2312" w:hAnsi="仿宋_GB2312" w:eastAsia="仿宋_GB2312" w:cs="仿宋_GB2312"/>
          <w:b w:val="0"/>
          <w:bCs w:val="0"/>
          <w:color w:val="auto"/>
          <w:sz w:val="21"/>
          <w:szCs w:val="21"/>
          <w:highlight w:val="none"/>
          <w:lang w:val="en-US" w:eastAsia="zh-CN"/>
        </w:rPr>
      </w:pPr>
      <w:r>
        <w:rPr>
          <w:rFonts w:hint="eastAsia" w:ascii="仿宋_GB2312" w:hAnsi="仿宋_GB2312" w:eastAsia="仿宋_GB2312" w:cs="仿宋_GB2312"/>
          <w:b w:val="0"/>
          <w:bCs w:val="0"/>
          <w:color w:val="auto"/>
          <w:sz w:val="21"/>
          <w:szCs w:val="21"/>
          <w:highlight w:val="none"/>
          <w:lang w:val="en-US" w:eastAsia="zh-CN"/>
        </w:rPr>
        <w:t>(一)合同签订，货物到达甲方指定地点，安装、调试完毕并经甲方验收合格后，乙方开具正式发票，甲方一次性支付合同总金额，即</w:t>
      </w:r>
      <w:r>
        <w:rPr>
          <w:rFonts w:hint="eastAsia" w:ascii="仿宋_GB2312" w:hAnsi="仿宋_GB2312" w:eastAsia="仿宋_GB2312" w:cs="仿宋_GB2312"/>
          <w:b w:val="0"/>
          <w:bCs w:val="0"/>
          <w:color w:val="auto"/>
          <w:sz w:val="21"/>
          <w:szCs w:val="21"/>
          <w:highlight w:val="none"/>
          <w:u w:val="single"/>
          <w:lang w:val="en-US" w:eastAsia="zh-CN"/>
        </w:rPr>
        <w:t xml:space="preserve">             </w:t>
      </w:r>
      <w:r>
        <w:rPr>
          <w:rFonts w:hint="eastAsia" w:ascii="仿宋_GB2312" w:hAnsi="仿宋_GB2312" w:eastAsia="仿宋_GB2312" w:cs="仿宋_GB2312"/>
          <w:b w:val="0"/>
          <w:bCs w:val="0"/>
          <w:color w:val="auto"/>
          <w:sz w:val="21"/>
          <w:szCs w:val="21"/>
          <w:highlight w:val="none"/>
          <w:lang w:val="en-US" w:eastAsia="zh-CN"/>
        </w:rPr>
        <w:t>。</w:t>
      </w:r>
    </w:p>
    <w:p w14:paraId="28F376C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仿宋_GB2312" w:hAnsi="仿宋_GB2312" w:eastAsia="仿宋_GB2312" w:cs="仿宋_GB2312"/>
          <w:b w:val="0"/>
          <w:bCs w:val="0"/>
          <w:color w:val="auto"/>
          <w:sz w:val="21"/>
          <w:szCs w:val="21"/>
          <w:highlight w:val="none"/>
          <w:lang w:val="en-US" w:eastAsia="zh-CN"/>
        </w:rPr>
      </w:pPr>
      <w:r>
        <w:rPr>
          <w:rFonts w:hint="eastAsia" w:ascii="仿宋_GB2312" w:hAnsi="仿宋_GB2312" w:eastAsia="仿宋_GB2312" w:cs="仿宋_GB2312"/>
          <w:b w:val="0"/>
          <w:bCs w:val="0"/>
          <w:color w:val="auto"/>
          <w:sz w:val="21"/>
          <w:szCs w:val="21"/>
          <w:highlight w:val="none"/>
          <w:lang w:val="en-US" w:eastAsia="zh-CN"/>
        </w:rPr>
        <w:t>(二)支付方式：银行转帐。</w:t>
      </w:r>
    </w:p>
    <w:p w14:paraId="7DFD2F5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仿宋_GB2312" w:hAnsi="仿宋_GB2312" w:eastAsia="仿宋_GB2312" w:cs="仿宋_GB2312"/>
          <w:b w:val="0"/>
          <w:bCs w:val="0"/>
          <w:color w:val="auto"/>
          <w:sz w:val="21"/>
          <w:szCs w:val="21"/>
          <w:highlight w:val="none"/>
          <w:lang w:val="en-US" w:eastAsia="zh-CN"/>
        </w:rPr>
      </w:pPr>
      <w:r>
        <w:rPr>
          <w:rFonts w:hint="eastAsia" w:ascii="仿宋_GB2312" w:hAnsi="仿宋_GB2312" w:eastAsia="仿宋_GB2312" w:cs="仿宋_GB2312"/>
          <w:b w:val="0"/>
          <w:bCs w:val="0"/>
          <w:color w:val="auto"/>
          <w:sz w:val="21"/>
          <w:szCs w:val="21"/>
          <w:highlight w:val="none"/>
          <w:lang w:val="en-US" w:eastAsia="zh-CN"/>
        </w:rPr>
        <w:t>八、保修期限、技术培训及售后服务</w:t>
      </w:r>
    </w:p>
    <w:p w14:paraId="5BA5AE4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仿宋_GB2312" w:hAnsi="仿宋_GB2312" w:eastAsia="仿宋_GB2312" w:cs="仿宋_GB2312"/>
          <w:b w:val="0"/>
          <w:bCs w:val="0"/>
          <w:color w:val="auto"/>
          <w:sz w:val="21"/>
          <w:szCs w:val="21"/>
          <w:highlight w:val="none"/>
          <w:lang w:val="en-US" w:eastAsia="zh-CN"/>
        </w:rPr>
      </w:pPr>
      <w:r>
        <w:rPr>
          <w:rFonts w:hint="eastAsia" w:ascii="仿宋_GB2312" w:hAnsi="仿宋_GB2312" w:eastAsia="仿宋_GB2312" w:cs="仿宋_GB2312"/>
          <w:b w:val="0"/>
          <w:bCs w:val="0"/>
          <w:color w:val="auto"/>
          <w:sz w:val="21"/>
          <w:szCs w:val="21"/>
          <w:highlight w:val="none"/>
          <w:lang w:val="en-US" w:eastAsia="zh-CN"/>
        </w:rPr>
        <w:t>乙方所供货物必须执行下列条款：</w:t>
      </w:r>
    </w:p>
    <w:p w14:paraId="25938FF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仿宋_GB2312" w:hAnsi="仿宋_GB2312" w:eastAsia="仿宋_GB2312" w:cs="仿宋_GB2312"/>
          <w:b w:val="0"/>
          <w:bCs w:val="0"/>
          <w:color w:val="auto"/>
          <w:sz w:val="21"/>
          <w:szCs w:val="21"/>
          <w:highlight w:val="none"/>
          <w:lang w:val="en-US" w:eastAsia="zh-CN"/>
        </w:rPr>
      </w:pPr>
      <w:r>
        <w:rPr>
          <w:rFonts w:hint="eastAsia" w:ascii="仿宋_GB2312" w:hAnsi="仿宋_GB2312" w:eastAsia="仿宋_GB2312" w:cs="仿宋_GB2312"/>
          <w:b w:val="0"/>
          <w:bCs w:val="0"/>
          <w:color w:val="auto"/>
          <w:sz w:val="21"/>
          <w:szCs w:val="21"/>
          <w:highlight w:val="none"/>
          <w:lang w:val="en-US" w:eastAsia="zh-CN"/>
        </w:rPr>
        <w:t>(一)保证技术指标先进、质量性能可靠、进货渠道正常，配置合理，全面满足科室使用需求。</w:t>
      </w:r>
    </w:p>
    <w:p w14:paraId="4D1709B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仿宋_GB2312" w:hAnsi="仿宋_GB2312" w:eastAsia="仿宋_GB2312" w:cs="仿宋_GB2312"/>
          <w:b w:val="0"/>
          <w:bCs w:val="0"/>
          <w:color w:val="auto"/>
          <w:sz w:val="21"/>
          <w:szCs w:val="21"/>
          <w:highlight w:val="none"/>
          <w:lang w:val="en-US" w:eastAsia="zh-CN"/>
        </w:rPr>
      </w:pPr>
      <w:r>
        <w:rPr>
          <w:rFonts w:hint="eastAsia" w:ascii="仿宋_GB2312" w:hAnsi="仿宋_GB2312" w:eastAsia="仿宋_GB2312" w:cs="仿宋_GB2312"/>
          <w:b w:val="0"/>
          <w:bCs w:val="0"/>
          <w:color w:val="auto"/>
          <w:sz w:val="21"/>
          <w:szCs w:val="21"/>
          <w:highlight w:val="none"/>
          <w:lang w:val="en-US" w:eastAsia="zh-CN"/>
        </w:rPr>
        <w:t>(二)符合国家有关规范要求，确保达到最佳运行状态。</w:t>
      </w:r>
    </w:p>
    <w:p w14:paraId="1D4EB6F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仿宋_GB2312" w:hAnsi="仿宋_GB2312" w:eastAsia="仿宋_GB2312" w:cs="仿宋_GB2312"/>
          <w:b w:val="0"/>
          <w:bCs w:val="0"/>
          <w:color w:val="auto"/>
          <w:sz w:val="21"/>
          <w:szCs w:val="21"/>
          <w:highlight w:val="none"/>
          <w:lang w:val="en-US" w:eastAsia="zh-CN"/>
        </w:rPr>
      </w:pPr>
    </w:p>
    <w:p w14:paraId="44B5F35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仿宋_GB2312" w:hAnsi="仿宋_GB2312" w:eastAsia="仿宋_GB2312" w:cs="仿宋_GB2312"/>
          <w:b w:val="0"/>
          <w:bCs w:val="0"/>
          <w:color w:val="auto"/>
          <w:sz w:val="21"/>
          <w:szCs w:val="21"/>
          <w:highlight w:val="none"/>
          <w:lang w:val="en-US" w:eastAsia="zh-CN"/>
        </w:rPr>
      </w:pPr>
      <w:r>
        <w:rPr>
          <w:rFonts w:hint="eastAsia" w:ascii="仿宋_GB2312" w:hAnsi="仿宋_GB2312" w:eastAsia="仿宋_GB2312" w:cs="仿宋_GB2312"/>
          <w:b w:val="0"/>
          <w:bCs w:val="0"/>
          <w:color w:val="auto"/>
          <w:sz w:val="21"/>
          <w:szCs w:val="21"/>
          <w:highlight w:val="none"/>
          <w:lang w:val="en-US" w:eastAsia="zh-CN"/>
        </w:rPr>
        <w:t>(三)具有良好的外观，适合安装场所的使用。</w:t>
      </w:r>
    </w:p>
    <w:p w14:paraId="795FB1C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仿宋_GB2312" w:hAnsi="仿宋_GB2312" w:eastAsia="仿宋_GB2312" w:cs="仿宋_GB2312"/>
          <w:b w:val="0"/>
          <w:bCs w:val="0"/>
          <w:color w:val="auto"/>
          <w:sz w:val="21"/>
          <w:szCs w:val="21"/>
          <w:highlight w:val="none"/>
          <w:lang w:val="en-US" w:eastAsia="zh-CN"/>
        </w:rPr>
      </w:pPr>
      <w:r>
        <w:rPr>
          <w:rFonts w:hint="eastAsia" w:ascii="仿宋_GB2312" w:hAnsi="仿宋_GB2312" w:eastAsia="仿宋_GB2312" w:cs="仿宋_GB2312"/>
          <w:b w:val="0"/>
          <w:bCs w:val="0"/>
          <w:color w:val="auto"/>
          <w:sz w:val="21"/>
          <w:szCs w:val="21"/>
          <w:highlight w:val="none"/>
          <w:lang w:val="en-US" w:eastAsia="zh-CN"/>
        </w:rPr>
        <w:t>(四)自安装、调试正常运行并经甲方验收合格之日起，所购买设备免费质保如下：</w:t>
      </w:r>
    </w:p>
    <w:p w14:paraId="1CEC21A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产品全套质保≥3年，全部软件终身免费升级。</w:t>
      </w:r>
    </w:p>
    <w:p w14:paraId="5D3EFB5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1、免费维修或更换缺陷的货物或部件期限：设备出现故障时，卖方必须在接到故障报告后在2小时内维修工程师到达现场，排除故障的期限不得超过12小时，否则卖方需提供备用机供临床使用</w:t>
      </w:r>
    </w:p>
    <w:p w14:paraId="6FD8764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2、质保期内，乙方定期派技术人员到现场走访，对设备给予检查维护(包括：机器清洁、性能测试即校准、必要的机械或电气的检查等)。乙方应保证甲方全年开机率在95%以上，超过一天质保顺延一天。</w:t>
      </w:r>
    </w:p>
    <w:p w14:paraId="7980D9C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3、乙方对所售产品免费提供使用培训服务(包括：操作、保养、维修及使用),协助用户顺利开展相关业务并长期提供技术交流及学术支持。</w:t>
      </w:r>
    </w:p>
    <w:p w14:paraId="3998A6A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4、乙方应为甲方提供完善的售后服务，并在国内有备件库，能保证设备停产后十年的备件供应。</w:t>
      </w:r>
    </w:p>
    <w:p w14:paraId="68D9945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九、违约责任</w:t>
      </w:r>
    </w:p>
    <w:p w14:paraId="560FA72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(一)乙方交付的货物不符合采购计划规定的，甲方有权拒收。</w:t>
      </w:r>
    </w:p>
    <w:p w14:paraId="0C3595A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(二)因乙方产品质量问题，给甲方造成损失的，乙方应予以全额赔偿。</w:t>
      </w:r>
    </w:p>
    <w:p w14:paraId="295A0A3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(三)如乙方提供给甲方的产品到货时已过有效期或已到有效期的，乙方应 无偿为甲方更换同产品新货。</w:t>
      </w:r>
    </w:p>
    <w:p w14:paraId="6B19BA3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十、合同争议解决方法</w:t>
      </w:r>
    </w:p>
    <w:p w14:paraId="68A8CE1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双方共同遵守本协议，任何一方违反合同规定，双方应友好协商解决，若协商 不成，若协商不成，向甲方所在地法院申请诉讼。</w:t>
      </w:r>
    </w:p>
    <w:p w14:paraId="470E279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kern w:val="2"/>
          <w:sz w:val="21"/>
          <w:szCs w:val="21"/>
          <w:lang w:val="en-US" w:eastAsia="zh-CN" w:bidi="ar-SA"/>
        </w:rPr>
        <w:t>十一、</w:t>
      </w:r>
      <w:r>
        <w:rPr>
          <w:rFonts w:hint="eastAsia" w:ascii="仿宋_GB2312" w:hAnsi="仿宋_GB2312" w:eastAsia="仿宋_GB2312" w:cs="仿宋_GB2312"/>
          <w:color w:val="auto"/>
          <w:sz w:val="21"/>
          <w:szCs w:val="21"/>
          <w:highlight w:val="none"/>
          <w:lang w:val="en-US" w:eastAsia="zh-CN"/>
        </w:rPr>
        <w:t>不可抗力</w:t>
      </w:r>
    </w:p>
    <w:p w14:paraId="4FD71FF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甲乙双方任何一方由于不可抗力原因不能履行合同时，应及时向对方通报不能履行或不能完全履行的理由，以减轻可能给对方造成的损失，在取得有关机构证明后，允许延期履行、 部分履行或不履行合同，并根据情况可部分或全部免予承担违约责任。</w:t>
      </w:r>
    </w:p>
    <w:p w14:paraId="587678C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十二、其他约定事项</w:t>
      </w:r>
    </w:p>
    <w:p w14:paraId="401E097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(一)合同附件是合同不可分割的部分。</w:t>
      </w:r>
    </w:p>
    <w:p w14:paraId="498C760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(二)合同未尽事宜，由甲、乙双方协商，经确认方确认后，作为合同补充，与原合同具有同等法律效力。</w:t>
      </w:r>
    </w:p>
    <w:p w14:paraId="3DADD03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(三)合同一经签订，不得擅自变更、中止或终止合同。对确需变更、调整或中止、终止合同的，应按规定履行相应的手续。</w:t>
      </w:r>
    </w:p>
    <w:p w14:paraId="6BDC891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(四)本合同按照中华人民共和国现行法律进行解释。</w:t>
      </w:r>
    </w:p>
    <w:p w14:paraId="53CF550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(五)本合同一式陆份。甲方执伍份、乙方执壹份，双方签字盖章之日起生效，具有同等法律效力。</w:t>
      </w:r>
    </w:p>
    <w:p w14:paraId="01506CC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十三、合同附件</w:t>
      </w:r>
    </w:p>
    <w:p w14:paraId="056ADA0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附件一：配置清单</w:t>
      </w:r>
    </w:p>
    <w:p w14:paraId="7D6293B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附件二：易损耗材报价</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3383E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6DCF89B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甲方：西安医学院第三附属医院</w:t>
            </w:r>
          </w:p>
        </w:tc>
        <w:tc>
          <w:tcPr>
            <w:tcW w:w="4261" w:type="dxa"/>
            <w:vAlign w:val="top"/>
          </w:tcPr>
          <w:p w14:paraId="633D9D6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left"/>
              <w:textAlignment w:val="auto"/>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乙方：</w:t>
            </w:r>
          </w:p>
        </w:tc>
      </w:tr>
      <w:tr w14:paraId="050DA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4F15A50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单位地址：西安市友谊西路277号</w:t>
            </w:r>
          </w:p>
        </w:tc>
        <w:tc>
          <w:tcPr>
            <w:tcW w:w="4261" w:type="dxa"/>
            <w:vAlign w:val="top"/>
          </w:tcPr>
          <w:p w14:paraId="2A33352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left"/>
              <w:textAlignment w:val="auto"/>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单位地址：</w:t>
            </w:r>
          </w:p>
        </w:tc>
      </w:tr>
      <w:tr w14:paraId="2436D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5C3071C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 xml:space="preserve">法定代表人： </w:t>
            </w:r>
          </w:p>
        </w:tc>
        <w:tc>
          <w:tcPr>
            <w:tcW w:w="4261" w:type="dxa"/>
            <w:vAlign w:val="top"/>
          </w:tcPr>
          <w:p w14:paraId="2673A41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left"/>
              <w:textAlignment w:val="auto"/>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法定代表人：</w:t>
            </w:r>
          </w:p>
        </w:tc>
      </w:tr>
      <w:tr w14:paraId="26145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456C6CC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 xml:space="preserve">电话号码： </w:t>
            </w:r>
          </w:p>
        </w:tc>
        <w:tc>
          <w:tcPr>
            <w:tcW w:w="4261" w:type="dxa"/>
            <w:vAlign w:val="top"/>
          </w:tcPr>
          <w:p w14:paraId="3A15896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left"/>
              <w:textAlignment w:val="auto"/>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电话号码：</w:t>
            </w:r>
          </w:p>
        </w:tc>
      </w:tr>
      <w:tr w14:paraId="396AB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18606DC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开户全称：</w:t>
            </w:r>
          </w:p>
        </w:tc>
        <w:tc>
          <w:tcPr>
            <w:tcW w:w="4261" w:type="dxa"/>
            <w:vAlign w:val="top"/>
          </w:tcPr>
          <w:p w14:paraId="20298DC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left"/>
              <w:textAlignment w:val="auto"/>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开户全称：</w:t>
            </w:r>
          </w:p>
        </w:tc>
      </w:tr>
      <w:tr w14:paraId="6D9EA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11CD798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开户银行：</w:t>
            </w:r>
          </w:p>
        </w:tc>
        <w:tc>
          <w:tcPr>
            <w:tcW w:w="4261" w:type="dxa"/>
            <w:vAlign w:val="top"/>
          </w:tcPr>
          <w:p w14:paraId="78608AC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left"/>
              <w:textAlignment w:val="auto"/>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开户银行：</w:t>
            </w:r>
          </w:p>
        </w:tc>
      </w:tr>
      <w:tr w14:paraId="4FEC7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69831B9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银行帐号：</w:t>
            </w:r>
          </w:p>
        </w:tc>
        <w:tc>
          <w:tcPr>
            <w:tcW w:w="4261" w:type="dxa"/>
            <w:vAlign w:val="top"/>
          </w:tcPr>
          <w:p w14:paraId="6E7332F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left"/>
              <w:textAlignment w:val="auto"/>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银行帐号：</w:t>
            </w:r>
          </w:p>
        </w:tc>
      </w:tr>
      <w:tr w14:paraId="39EFA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6A3AADB5">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邮政编码：</w:t>
            </w:r>
          </w:p>
        </w:tc>
        <w:tc>
          <w:tcPr>
            <w:tcW w:w="4261" w:type="dxa"/>
            <w:vAlign w:val="top"/>
          </w:tcPr>
          <w:p w14:paraId="73C3B12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left"/>
              <w:textAlignment w:val="auto"/>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邮政编码：</w:t>
            </w:r>
          </w:p>
        </w:tc>
      </w:tr>
      <w:tr w14:paraId="65C8A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374D6A2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签订日期：    年    月    日</w:t>
            </w:r>
          </w:p>
        </w:tc>
        <w:tc>
          <w:tcPr>
            <w:tcW w:w="4261" w:type="dxa"/>
            <w:vAlign w:val="top"/>
          </w:tcPr>
          <w:p w14:paraId="468992F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left"/>
              <w:textAlignment w:val="auto"/>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签订日期：    年    月    日</w:t>
            </w:r>
          </w:p>
        </w:tc>
      </w:tr>
    </w:tbl>
    <w:p w14:paraId="53F74CF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仿宋_GB2312" w:hAnsi="仿宋_GB2312" w:eastAsia="仿宋_GB2312" w:cs="仿宋_GB2312"/>
          <w:color w:val="auto"/>
          <w:sz w:val="21"/>
          <w:szCs w:val="21"/>
          <w:highlight w:val="none"/>
          <w:lang w:val="en-US" w:eastAsia="zh-CN"/>
        </w:rPr>
      </w:pPr>
    </w:p>
    <w:p w14:paraId="3B42C2BD">
      <w:pPr>
        <w:pStyle w:val="5"/>
        <w:rPr>
          <w:rFonts w:hint="eastAsia" w:ascii="仿宋_GB2312" w:hAnsi="仿宋_GB2312" w:eastAsia="仿宋_GB2312" w:cs="仿宋_GB2312"/>
          <w:lang w:val="en-US" w:eastAsia="zh-Hans"/>
        </w:rPr>
      </w:pPr>
    </w:p>
    <w:p w14:paraId="7BB40002">
      <w:bookmarkStart w:id="0" w:name="_GoBack"/>
      <w:bookmarkEnd w:id="0"/>
    </w:p>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9194F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2026-07-20T03:42:39Z</dcterms:created>
  <dc:creator>Administrator</dc:creator>
  <cp:lastModifiedBy>夏日微凉</cp:lastModifiedBy>
  <dcterms:modified xsi:type="dcterms:W3CDTF">2026-07-20T03:42:49Z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eyJoZGlkIjoiNjc0ZjhjMTdhMzRiZWE0ZWJlYzdmZjM1NmIxYzE0OTMiLCJ1c2VySWQiOiIyNTE3NDAxMDAifQ==</vt:lpwstr>
  </property>
  <property fmtid="{D5CDD505-2E9C-101B-9397-08002B2CF9AE}" pid="4" name="ICV">
    <vt:lpwstr>DDC3EF28FCE249689C0D755599FFAE4B_12</vt:lpwstr>
  </property>
</Properties>
</file>