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1A0D">
      <w:pPr>
        <w:keepNext/>
        <w:keepLines/>
        <w:widowControl w:val="0"/>
        <w:spacing w:before="0" w:after="0" w:line="460" w:lineRule="exact"/>
        <w:jc w:val="center"/>
        <w:outlineLvl w:val="0"/>
        <w:rPr>
          <w:rFonts w:hint="eastAsia" w:ascii="楷体" w:hAnsi="楷体" w:eastAsia="楷体" w:cs="楷体"/>
          <w:b/>
          <w:bCs/>
          <w:kern w:val="44"/>
          <w:sz w:val="44"/>
          <w:szCs w:val="21"/>
          <w:highlight w:val="none"/>
          <w:lang w:val="en-US" w:eastAsia="zh-CN" w:bidi="ar-SA"/>
        </w:rPr>
      </w:pPr>
      <w:r>
        <w:rPr>
          <w:rFonts w:hint="eastAsia" w:ascii="仿宋" w:hAnsi="仿宋" w:eastAsia="仿宋" w:cs="仿宋"/>
          <w:b/>
          <w:bCs/>
          <w:kern w:val="44"/>
          <w:sz w:val="44"/>
          <w:szCs w:val="44"/>
          <w:highlight w:val="none"/>
          <w:lang w:val="en-US" w:eastAsia="zh-CN" w:bidi="ar-SA"/>
        </w:rPr>
        <w:t>合同条款</w:t>
      </w:r>
    </w:p>
    <w:p w14:paraId="4E0F0FBA">
      <w:pPr>
        <w:spacing w:line="500" w:lineRule="exact"/>
        <w:ind w:firstLine="280" w:firstLineChars="100"/>
        <w:rPr>
          <w:rFonts w:hint="eastAsia" w:ascii="仿宋" w:hAnsi="仿宋" w:eastAsia="仿宋" w:cs="仿宋"/>
          <w:sz w:val="28"/>
          <w:szCs w:val="28"/>
        </w:rPr>
      </w:pP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rPr>
        <w:t>一、合同格式</w:t>
      </w:r>
    </w:p>
    <w:p w14:paraId="24623810">
      <w:pPr>
        <w:ind w:firstLine="840" w:firstLineChars="300"/>
        <w:rPr>
          <w:rFonts w:hint="eastAsia" w:ascii="仿宋" w:hAnsi="仿宋" w:eastAsia="仿宋" w:cs="仿宋"/>
          <w:spacing w:val="-20"/>
          <w:sz w:val="28"/>
          <w:szCs w:val="28"/>
        </w:rPr>
      </w:pPr>
      <w:r>
        <w:rPr>
          <w:rFonts w:hint="eastAsia" w:ascii="仿宋" w:hAnsi="仿宋" w:eastAsia="仿宋" w:cs="仿宋"/>
          <w:color w:val="000000"/>
          <w:sz w:val="28"/>
          <w:szCs w:val="28"/>
          <w:u w:val="single"/>
          <w:lang w:val="en-US" w:eastAsia="zh-CN"/>
        </w:rPr>
        <w:t xml:space="preserve">城固县自然资源资产清查技术服务采购项目(项目编号：SXDY-2026-109 </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none"/>
          <w:lang w:val="en-US" w:eastAsia="zh-CN"/>
        </w:rPr>
        <w:t>，</w:t>
      </w:r>
      <w:r>
        <w:rPr>
          <w:rFonts w:hint="eastAsia" w:ascii="仿宋" w:hAnsi="仿宋" w:eastAsia="仿宋" w:cs="仿宋"/>
          <w:color w:val="000000"/>
          <w:sz w:val="28"/>
          <w:szCs w:val="28"/>
        </w:rPr>
        <w:t>在</w:t>
      </w:r>
      <w:r>
        <w:rPr>
          <w:rFonts w:hint="eastAsia" w:ascii="仿宋" w:hAnsi="仿宋" w:eastAsia="仿宋" w:cs="仿宋"/>
          <w:color w:val="000000"/>
          <w:sz w:val="28"/>
          <w:szCs w:val="28"/>
          <w:u w:val="single"/>
          <w:lang w:val="en-US" w:eastAsia="zh-CN"/>
        </w:rPr>
        <w:t>城固县</w:t>
      </w:r>
      <w:r>
        <w:rPr>
          <w:rFonts w:hint="eastAsia" w:ascii="仿宋" w:hAnsi="仿宋" w:eastAsia="仿宋" w:cs="仿宋"/>
          <w:color w:val="000000"/>
          <w:sz w:val="28"/>
          <w:szCs w:val="28"/>
          <w:u w:val="single"/>
        </w:rPr>
        <w:t>财政局</w:t>
      </w:r>
      <w:r>
        <w:rPr>
          <w:rFonts w:hint="eastAsia" w:ascii="仿宋" w:hAnsi="仿宋" w:eastAsia="仿宋" w:cs="仿宋"/>
          <w:color w:val="000000"/>
          <w:sz w:val="28"/>
          <w:szCs w:val="28"/>
        </w:rPr>
        <w:t>的监督管理下，由</w:t>
      </w:r>
      <w:bookmarkStart w:id="5" w:name="_GoBack"/>
      <w:bookmarkEnd w:id="5"/>
      <w:r>
        <w:rPr>
          <w:rFonts w:hint="eastAsia" w:ascii="仿宋" w:hAnsi="仿宋" w:eastAsia="仿宋" w:cs="仿宋"/>
          <w:color w:val="000000"/>
          <w:sz w:val="28"/>
          <w:szCs w:val="28"/>
          <w:lang w:eastAsia="zh-CN"/>
        </w:rPr>
        <w:t>陕西大用项目管理有限公司</w:t>
      </w:r>
      <w:r>
        <w:rPr>
          <w:rFonts w:hint="eastAsia" w:ascii="仿宋" w:hAnsi="仿宋" w:eastAsia="仿宋" w:cs="仿宋"/>
          <w:color w:val="000000"/>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lang w:eastAsia="zh-CN"/>
        </w:rPr>
        <w:t>采购</w:t>
      </w:r>
      <w:r>
        <w:rPr>
          <w:rFonts w:hint="eastAsia" w:ascii="仿宋" w:hAnsi="仿宋" w:eastAsia="仿宋" w:cs="仿宋"/>
          <w:sz w:val="28"/>
          <w:szCs w:val="28"/>
          <w:u w:val="single"/>
        </w:rPr>
        <w:t xml:space="preserve">人 </w:t>
      </w:r>
      <w:r>
        <w:rPr>
          <w:rFonts w:hint="eastAsia" w:ascii="仿宋" w:hAnsi="仿宋" w:eastAsia="仿宋" w:cs="仿宋"/>
          <w:sz w:val="28"/>
          <w:szCs w:val="28"/>
        </w:rPr>
        <w:t xml:space="preserve">(以下简称“甲方”)确定 </w:t>
      </w:r>
      <w:r>
        <w:rPr>
          <w:rFonts w:hint="eastAsia" w:ascii="仿宋" w:hAnsi="仿宋" w:eastAsia="仿宋" w:cs="仿宋"/>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sz w:val="28"/>
          <w:szCs w:val="28"/>
          <w:u w:val="single"/>
        </w:rPr>
        <w:t xml:space="preserve">单位名称) </w:t>
      </w:r>
      <w:r>
        <w:rPr>
          <w:rFonts w:hint="eastAsia" w:ascii="仿宋" w:hAnsi="仿宋" w:eastAsia="仿宋" w:cs="仿宋"/>
          <w:sz w:val="28"/>
          <w:szCs w:val="28"/>
        </w:rPr>
        <w:t>（以下简称“乙方”）为</w:t>
      </w:r>
      <w:r>
        <w:rPr>
          <w:rFonts w:hint="eastAsia" w:ascii="仿宋" w:hAnsi="仿宋" w:eastAsia="仿宋" w:cs="仿宋"/>
          <w:sz w:val="28"/>
          <w:szCs w:val="28"/>
          <w:lang w:eastAsia="zh-CN"/>
        </w:rPr>
        <w:t>该项目成交</w:t>
      </w:r>
      <w:r>
        <w:rPr>
          <w:rFonts w:hint="eastAsia" w:ascii="仿宋" w:hAnsi="仿宋" w:eastAsia="仿宋" w:cs="仿宋"/>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依据《中华人民共和国民法典》和《中华人民共和国政府采购法》，甲方通过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（服务项目名称） </w:t>
      </w:r>
      <w:r>
        <w:rPr>
          <w:rFonts w:hint="eastAsia" w:ascii="仿宋" w:hAnsi="仿宋" w:eastAsia="仿宋" w:cs="仿宋"/>
          <w:sz w:val="28"/>
          <w:szCs w:val="28"/>
        </w:rPr>
        <w:t>，并接受了乙方以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kern w:val="0"/>
          <w:sz w:val="28"/>
          <w:szCs w:val="28"/>
          <w:u w:val="single"/>
        </w:rPr>
        <w:t>金额大写)</w:t>
      </w:r>
      <w:r>
        <w:rPr>
          <w:rFonts w:hint="eastAsia" w:ascii="仿宋" w:hAnsi="仿宋" w:eastAsia="仿宋" w:cs="仿宋"/>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rPr>
      </w:pPr>
      <w:bookmarkStart w:id="0" w:name="_Toc193126879"/>
      <w:bookmarkStart w:id="1" w:name="_Toc194663916"/>
      <w:bookmarkStart w:id="2" w:name="_Toc188808831"/>
      <w:bookmarkStart w:id="3" w:name="_Toc193187095"/>
      <w:r>
        <w:rPr>
          <w:rFonts w:hint="eastAsia" w:ascii="仿宋" w:hAnsi="仿宋" w:eastAsia="仿宋" w:cs="仿宋"/>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sz w:val="28"/>
        </w:rPr>
      </w:pPr>
      <w:r>
        <w:rPr>
          <w:rFonts w:hint="eastAsia" w:ascii="仿宋" w:hAnsi="仿宋" w:eastAsia="仿宋" w:cs="仿宋"/>
          <w:kern w:val="2"/>
          <w:sz w:val="28"/>
          <w:szCs w:val="24"/>
          <w:lang w:val="en-US" w:eastAsia="zh-CN" w:bidi="ar-SA"/>
        </w:rPr>
        <w:t>1、</w:t>
      </w:r>
      <w:r>
        <w:rPr>
          <w:rFonts w:hint="eastAsia" w:ascii="仿宋" w:hAnsi="仿宋" w:eastAsia="仿宋" w:cs="仿宋"/>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ascii="仿宋" w:hAnsi="仿宋" w:eastAsia="仿宋" w:cs="仿宋"/>
          <w:sz w:val="28"/>
          <w:szCs w:val="28"/>
        </w:rPr>
      </w:pPr>
      <w:r>
        <w:rPr>
          <w:rFonts w:ascii="仿宋" w:hAnsi="仿宋" w:eastAsia="仿宋" w:cs="仿宋"/>
          <w:kern w:val="2"/>
          <w:sz w:val="28"/>
          <w:szCs w:val="28"/>
          <w:lang w:val="en-US" w:eastAsia="zh-CN" w:bidi="ar-SA"/>
        </w:rPr>
        <w:t>2、</w:t>
      </w:r>
      <w:r>
        <w:rPr>
          <w:rFonts w:hint="eastAsia" w:ascii="仿宋" w:hAnsi="仿宋" w:eastAsia="仿宋" w:cs="仿宋"/>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竞争性磋商</w:t>
      </w:r>
      <w:r>
        <w:rPr>
          <w:rFonts w:hint="eastAsia" w:ascii="仿宋" w:hAnsi="仿宋" w:eastAsia="仿宋" w:cs="仿宋"/>
          <w:sz w:val="28"/>
          <w:szCs w:val="28"/>
        </w:rPr>
        <w:t>文件、</w:t>
      </w:r>
      <w:r>
        <w:rPr>
          <w:rFonts w:hint="eastAsia" w:ascii="仿宋" w:hAnsi="仿宋" w:eastAsia="仿宋" w:cs="仿宋"/>
          <w:sz w:val="28"/>
          <w:szCs w:val="28"/>
          <w:lang w:eastAsia="zh-CN"/>
        </w:rPr>
        <w:t>竞争性磋商</w:t>
      </w:r>
      <w:r>
        <w:rPr>
          <w:rFonts w:hint="eastAsia" w:ascii="仿宋" w:hAnsi="仿宋" w:eastAsia="仿宋" w:cs="仿宋"/>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竞争性磋商响应</w:t>
      </w:r>
      <w:r>
        <w:rPr>
          <w:rFonts w:hint="eastAsia" w:ascii="仿宋" w:hAnsi="仿宋" w:eastAsia="仿宋" w:cs="仿宋"/>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仿宋" w:hAnsi="仿宋" w:eastAsia="仿宋" w:cs="仿宋"/>
          <w:sz w:val="28"/>
          <w:szCs w:val="28"/>
        </w:rPr>
      </w:pPr>
      <w:r>
        <w:rPr>
          <w:rFonts w:hint="eastAsia" w:ascii="仿宋" w:hAnsi="仿宋" w:eastAsia="仿宋" w:cs="仿宋"/>
          <w:sz w:val="28"/>
          <w:szCs w:val="28"/>
          <w:lang w:eastAsia="zh-CN"/>
        </w:rPr>
        <w:t>成交</w:t>
      </w:r>
      <w:r>
        <w:rPr>
          <w:rFonts w:hint="eastAsia" w:ascii="仿宋" w:hAnsi="仿宋" w:eastAsia="仿宋" w:cs="仿宋"/>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eastAsia="zh-CN"/>
        </w:rPr>
        <w:t>付款方式：</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 xml:space="preserve">  </w:t>
      </w:r>
      <w:r>
        <w:rPr>
          <w:rFonts w:hint="eastAsia" w:ascii="仿宋" w:hAnsi="仿宋" w:eastAsia="仿宋" w:cs="仿宋"/>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4、服务期限：</w:t>
      </w:r>
      <w:r>
        <w:rPr>
          <w:rFonts w:hint="eastAsia" w:ascii="仿宋" w:hAnsi="仿宋" w:eastAsia="仿宋" w:cs="仿宋"/>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、考虑到乙方提供的货物和服务并修补缺陷，甲方在此保证按照合同规定的时间和方式向乙方支付合同价或其它按合同规定支付的金额。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本合同未涉及的部分，均按《</w:t>
      </w:r>
      <w:r>
        <w:rPr>
          <w:rFonts w:hint="eastAsia" w:ascii="仿宋" w:hAnsi="仿宋" w:eastAsia="仿宋" w:cs="仿宋"/>
          <w:sz w:val="28"/>
          <w:szCs w:val="28"/>
          <w:lang w:eastAsia="zh-CN"/>
        </w:rPr>
        <w:t>中华人民共和国民法典</w:t>
      </w:r>
      <w:r>
        <w:rPr>
          <w:rFonts w:hint="eastAsia" w:ascii="仿宋" w:hAnsi="仿宋" w:eastAsia="仿宋" w:cs="仿宋"/>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甲方名称（盖章）： </w:t>
            </w:r>
          </w:p>
          <w:p w14:paraId="77E4F99A">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3684B27D">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14:paraId="2FE52F0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传    真：</w:t>
            </w:r>
          </w:p>
          <w:p w14:paraId="4F6A1711">
            <w:pPr>
              <w:autoSpaceDE w:val="0"/>
              <w:autoSpaceDN w:val="0"/>
              <w:spacing w:line="460" w:lineRule="exact"/>
              <w:ind w:left="210" w:leftChars="100"/>
              <w:rPr>
                <w:rFonts w:hint="eastAsia" w:ascii="仿宋" w:hAnsi="仿宋" w:eastAsia="仿宋" w:cs="仿宋"/>
                <w:sz w:val="28"/>
                <w:szCs w:val="28"/>
              </w:rPr>
            </w:pPr>
          </w:p>
          <w:p w14:paraId="6972DA02">
            <w:pPr>
              <w:autoSpaceDE w:val="0"/>
              <w:autoSpaceDN w:val="0"/>
              <w:spacing w:line="460" w:lineRule="exact"/>
              <w:ind w:left="210" w:leftChars="100"/>
              <w:rPr>
                <w:rFonts w:hint="eastAsia" w:ascii="仿宋" w:hAnsi="仿宋" w:eastAsia="仿宋" w:cs="仿宋"/>
                <w:sz w:val="28"/>
                <w:szCs w:val="28"/>
              </w:rPr>
            </w:pPr>
          </w:p>
          <w:p w14:paraId="12BEEF9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53B833F9">
            <w:pPr>
              <w:spacing w:line="460" w:lineRule="exact"/>
              <w:ind w:left="210" w:leftChars="100"/>
              <w:rPr>
                <w:rFonts w:hint="eastAsia" w:ascii="仿宋" w:hAnsi="仿宋" w:eastAsia="仿宋" w:cs="仿宋"/>
                <w:sz w:val="28"/>
                <w:szCs w:val="28"/>
              </w:rPr>
            </w:pPr>
          </w:p>
          <w:p w14:paraId="2305BBB7">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 </w:t>
            </w:r>
          </w:p>
          <w:bookmarkEnd w:id="4"/>
          <w:p w14:paraId="235BE7FA">
            <w:pPr>
              <w:spacing w:line="460" w:lineRule="exact"/>
              <w:rPr>
                <w:rFonts w:hint="eastAsia" w:ascii="仿宋" w:hAnsi="仿宋" w:eastAsia="仿宋" w:cs="仿宋"/>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乙方名称（盖章）：</w:t>
            </w:r>
          </w:p>
          <w:p w14:paraId="706D9F4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1C31285E">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14:paraId="2A788771">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传    真：  </w:t>
            </w:r>
          </w:p>
          <w:p w14:paraId="43FE0789">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14:paraId="10E4DCCC">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14:paraId="2A2C743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713ED408">
            <w:pPr>
              <w:spacing w:line="460" w:lineRule="exact"/>
              <w:ind w:left="210" w:leftChars="100"/>
              <w:rPr>
                <w:rFonts w:hint="eastAsia" w:ascii="仿宋" w:hAnsi="仿宋" w:eastAsia="仿宋" w:cs="仿宋"/>
                <w:sz w:val="28"/>
                <w:szCs w:val="28"/>
              </w:rPr>
            </w:pPr>
          </w:p>
          <w:p w14:paraId="51CEE605">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51D6FA6A">
      <w:pPr>
        <w:spacing w:line="500" w:lineRule="exact"/>
        <w:ind w:firstLine="280" w:firstLineChars="100"/>
        <w:rPr>
          <w:rFonts w:hint="eastAsia" w:ascii="仿宋" w:hAnsi="仿宋" w:eastAsia="仿宋" w:cs="仿宋"/>
          <w:sz w:val="28"/>
          <w:szCs w:val="28"/>
        </w:rPr>
      </w:pPr>
    </w:p>
    <w:p w14:paraId="6B6EDF9E"/>
    <w:p w14:paraId="611119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D2C2932"/>
    <w:rsid w:val="293E3D33"/>
    <w:rsid w:val="3C204924"/>
    <w:rsid w:val="3FA95238"/>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1585</Words>
  <Characters>1602</Characters>
  <Lines>0</Lines>
  <Paragraphs>0</Paragraphs>
  <TotalTime>1</TotalTime>
  <ScaleCrop>false</ScaleCrop>
  <LinksUpToDate>false</LinksUpToDate>
  <CharactersWithSpaces>1702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2026-04-29T07:14:47Z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