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3CF26E">
      <w:pPr>
        <w:keepNext/>
        <w:keepLines/>
        <w:spacing w:line="360" w:lineRule="auto"/>
        <w:jc w:val="center"/>
        <w:outlineLvl w:val="2"/>
        <w:rPr>
          <w:rFonts w:ascii="宋体" w:hAnsi="宋体" w:cs="宋体"/>
          <w:b/>
          <w:bCs/>
          <w:sz w:val="28"/>
          <w:szCs w:val="28"/>
        </w:rPr>
      </w:pPr>
      <w:r>
        <w:rPr>
          <w:rFonts w:hint="eastAsia" w:ascii="宋体" w:hAnsi="宋体" w:cs="宋体"/>
          <w:b/>
          <w:bCs/>
          <w:sz w:val="28"/>
          <w:szCs w:val="28"/>
        </w:rPr>
        <w:t>服务内容及服务要求应答表</w:t>
      </w:r>
    </w:p>
    <w:p w14:paraId="3C2D23A1">
      <w:pPr>
        <w:spacing w:line="360" w:lineRule="auto"/>
        <w:ind w:left="1532" w:hanging="1532" w:hangingChars="545"/>
        <w:rPr>
          <w:b/>
          <w:bCs/>
          <w:sz w:val="28"/>
          <w:szCs w:val="28"/>
        </w:rPr>
      </w:pPr>
      <w:r>
        <w:rPr>
          <w:rFonts w:hint="eastAsia"/>
          <w:b/>
          <w:bCs/>
          <w:sz w:val="28"/>
          <w:szCs w:val="28"/>
        </w:rPr>
        <w:t>采购项目名称：</w:t>
      </w:r>
      <w:r>
        <w:rPr>
          <w:sz w:val="28"/>
          <w:szCs w:val="28"/>
        </w:rPr>
        <w:t>{</w:t>
      </w:r>
      <w:r>
        <w:rPr>
          <w:rFonts w:hint="eastAsia"/>
          <w:sz w:val="28"/>
          <w:szCs w:val="28"/>
          <w:lang w:eastAsia="zh-Hans"/>
        </w:rPr>
        <w:t>请填写采购项目名称</w:t>
      </w:r>
      <w:r>
        <w:rPr>
          <w:sz w:val="28"/>
          <w:szCs w:val="28"/>
        </w:rPr>
        <w:t>}</w:t>
      </w:r>
    </w:p>
    <w:p w14:paraId="2ABC9DC6">
      <w:pPr>
        <w:spacing w:line="360" w:lineRule="auto"/>
        <w:rPr>
          <w:sz w:val="28"/>
          <w:szCs w:val="28"/>
        </w:rPr>
      </w:pPr>
      <w:r>
        <w:rPr>
          <w:rFonts w:hint="eastAsia"/>
          <w:b/>
          <w:bCs/>
          <w:sz w:val="28"/>
          <w:szCs w:val="28"/>
        </w:rPr>
        <w:t>采购项目编号：</w:t>
      </w:r>
      <w:r>
        <w:rPr>
          <w:sz w:val="28"/>
          <w:szCs w:val="28"/>
        </w:rPr>
        <w:t>{</w:t>
      </w:r>
      <w:r>
        <w:rPr>
          <w:rFonts w:hint="eastAsia"/>
          <w:sz w:val="28"/>
          <w:szCs w:val="28"/>
          <w:lang w:eastAsia="zh-Hans"/>
        </w:rPr>
        <w:t>请填写采购项目编号</w:t>
      </w:r>
      <w:r>
        <w:rPr>
          <w:sz w:val="28"/>
          <w:szCs w:val="28"/>
        </w:rPr>
        <w:t>}</w:t>
      </w:r>
    </w:p>
    <w:tbl>
      <w:tblPr>
        <w:tblStyle w:val="8"/>
        <w:tblW w:w="52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4954"/>
        <w:gridCol w:w="2907"/>
      </w:tblGrid>
      <w:tr w14:paraId="0B1B9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vAlign w:val="center"/>
          </w:tcPr>
          <w:p w14:paraId="36C8D65D">
            <w:pPr>
              <w:widowControl/>
              <w:spacing w:line="360" w:lineRule="auto"/>
              <w:ind w:left="0" w:leftChars="0" w:right="0" w:rightChars="0"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rPr>
              <w:t>序号</w:t>
            </w:r>
          </w:p>
        </w:tc>
        <w:tc>
          <w:tcPr>
            <w:tcW w:w="2779" w:type="pct"/>
            <w:tcBorders>
              <w:top w:val="single" w:color="auto" w:sz="4" w:space="0"/>
              <w:left w:val="single" w:color="auto" w:sz="4" w:space="0"/>
              <w:bottom w:val="single" w:color="auto" w:sz="4" w:space="0"/>
              <w:right w:val="single" w:color="auto" w:sz="4" w:space="0"/>
            </w:tcBorders>
            <w:vAlign w:val="center"/>
          </w:tcPr>
          <w:p w14:paraId="51D48D51">
            <w:pPr>
              <w:widowControl/>
              <w:spacing w:line="360" w:lineRule="auto"/>
              <w:ind w:left="0" w:leftChars="0" w:right="0" w:rightChars="0"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lang w:val="en-US" w:eastAsia="zh-CN"/>
              </w:rPr>
              <w:t>招标</w:t>
            </w:r>
            <w:r>
              <w:rPr>
                <w:rFonts w:hint="eastAsia" w:ascii="宋体" w:hAnsi="宋体" w:eastAsia="宋体" w:cs="宋体"/>
                <w:b/>
                <w:bCs/>
                <w:sz w:val="24"/>
                <w:szCs w:val="24"/>
              </w:rPr>
              <w:t>文件要求</w:t>
            </w:r>
          </w:p>
        </w:tc>
        <w:tc>
          <w:tcPr>
            <w:tcW w:w="1631" w:type="pct"/>
            <w:tcBorders>
              <w:top w:val="single" w:color="auto" w:sz="4" w:space="0"/>
              <w:left w:val="single" w:color="auto" w:sz="4" w:space="0"/>
              <w:bottom w:val="single" w:color="auto" w:sz="4" w:space="0"/>
              <w:right w:val="single" w:color="auto" w:sz="4" w:space="0"/>
            </w:tcBorders>
            <w:vAlign w:val="center"/>
          </w:tcPr>
          <w:p w14:paraId="59AC3475">
            <w:pPr>
              <w:widowControl/>
              <w:spacing w:line="360" w:lineRule="auto"/>
              <w:ind w:left="0" w:leftChars="0" w:right="0" w:rightChars="0" w:firstLine="0" w:firstLineChars="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投标</w:t>
            </w:r>
            <w:r>
              <w:rPr>
                <w:rFonts w:hint="eastAsia" w:ascii="宋体" w:hAnsi="宋体" w:eastAsia="宋体" w:cs="宋体"/>
                <w:b/>
                <w:bCs/>
                <w:sz w:val="24"/>
                <w:szCs w:val="24"/>
              </w:rPr>
              <w:t>文件</w:t>
            </w:r>
            <w:r>
              <w:rPr>
                <w:rFonts w:hint="eastAsia" w:ascii="宋体" w:hAnsi="宋体" w:eastAsia="宋体" w:cs="宋体"/>
                <w:b/>
                <w:bCs/>
                <w:sz w:val="24"/>
                <w:szCs w:val="24"/>
                <w:lang w:val="en-US" w:eastAsia="zh-CN"/>
              </w:rPr>
              <w:t>响应</w:t>
            </w:r>
          </w:p>
          <w:p w14:paraId="623E4CF7">
            <w:pPr>
              <w:widowControl/>
              <w:spacing w:line="360" w:lineRule="auto"/>
              <w:ind w:left="0" w:leftChars="0" w:right="0" w:rightChars="0" w:firstLine="0" w:firstLineChars="0"/>
              <w:jc w:val="cente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响应/不响应</w:t>
            </w:r>
            <w:r>
              <w:rPr>
                <w:rFonts w:hint="eastAsia" w:ascii="宋体" w:hAnsi="宋体" w:eastAsia="宋体" w:cs="宋体"/>
                <w:b/>
                <w:bCs/>
                <w:sz w:val="24"/>
                <w:szCs w:val="24"/>
                <w:lang w:eastAsia="zh-CN"/>
              </w:rPr>
              <w:t>）</w:t>
            </w:r>
          </w:p>
        </w:tc>
      </w:tr>
      <w:tr w14:paraId="580F5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3CD0B123">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2779" w:type="pct"/>
            <w:tcBorders>
              <w:top w:val="single" w:color="auto" w:sz="4" w:space="0"/>
              <w:left w:val="single" w:color="auto" w:sz="4" w:space="0"/>
              <w:bottom w:val="single" w:color="auto" w:sz="4" w:space="0"/>
              <w:right w:val="single" w:color="auto" w:sz="4" w:space="0"/>
            </w:tcBorders>
          </w:tcPr>
          <w:p w14:paraId="4D81A003">
            <w:pPr>
              <w:widowControl/>
              <w:spacing w:line="360" w:lineRule="auto"/>
              <w:ind w:left="0" w:leftChars="0" w:right="0" w:rightChars="0" w:firstLine="0" w:firstLineChars="0"/>
              <w:jc w:val="left"/>
              <w:rPr>
                <w:rFonts w:hint="eastAsia" w:ascii="宋体" w:hAnsi="宋体" w:eastAsia="宋体" w:cs="宋体"/>
                <w:sz w:val="24"/>
                <w:szCs w:val="24"/>
              </w:rPr>
            </w:pPr>
            <w:r>
              <w:rPr>
                <w:rFonts w:hint="eastAsia" w:ascii="宋体" w:hAnsi="宋体" w:eastAsia="宋体" w:cs="宋体"/>
                <w:sz w:val="24"/>
                <w:szCs w:val="24"/>
              </w:rPr>
              <w:t>为规范和促进本项目的正常实施和推进，供应商须针对本项目安排专业配送服务团队、购买食品安全责任保险、具备相关履约经验。</w:t>
            </w:r>
          </w:p>
        </w:tc>
        <w:tc>
          <w:tcPr>
            <w:tcW w:w="1631" w:type="pct"/>
            <w:tcBorders>
              <w:top w:val="single" w:color="auto" w:sz="4" w:space="0"/>
              <w:left w:val="single" w:color="auto" w:sz="4" w:space="0"/>
              <w:bottom w:val="single" w:color="auto" w:sz="4" w:space="0"/>
              <w:right w:val="single" w:color="auto" w:sz="4" w:space="0"/>
            </w:tcBorders>
          </w:tcPr>
          <w:p w14:paraId="7FD2E104">
            <w:pPr>
              <w:widowControl/>
              <w:spacing w:line="360" w:lineRule="auto"/>
              <w:ind w:left="0" w:leftChars="0" w:right="0" w:rightChars="0" w:firstLine="0" w:firstLineChars="0"/>
              <w:jc w:val="left"/>
              <w:rPr>
                <w:rFonts w:hint="eastAsia" w:ascii="宋体" w:hAnsi="宋体" w:eastAsia="宋体" w:cs="宋体"/>
                <w:sz w:val="24"/>
                <w:szCs w:val="24"/>
              </w:rPr>
            </w:pPr>
          </w:p>
        </w:tc>
      </w:tr>
      <w:tr w14:paraId="37168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5EE103C3">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2</w:t>
            </w:r>
          </w:p>
        </w:tc>
        <w:tc>
          <w:tcPr>
            <w:tcW w:w="2779" w:type="pct"/>
            <w:tcBorders>
              <w:top w:val="single" w:color="auto" w:sz="4" w:space="0"/>
              <w:left w:val="single" w:color="auto" w:sz="4" w:space="0"/>
              <w:bottom w:val="single" w:color="auto" w:sz="4" w:space="0"/>
              <w:right w:val="single" w:color="auto" w:sz="4" w:space="0"/>
            </w:tcBorders>
          </w:tcPr>
          <w:p w14:paraId="161BB523">
            <w:pPr>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包装、标识要求</w:t>
            </w:r>
          </w:p>
          <w:p w14:paraId="6B6490C3">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rPr>
              <w:t>（1）经确认配送的品牌和包装，内外包装应完整卫生，无受潮无破漏，真空包装无漏气/膨胀情况，内包装物应无破损，配送的货品形状完好无损。包装材料应符合相应的国家标准。容器(框箱、袋)要求清洁、干燥、牢固、透气无污染、无异味、无霉变现象。包装容器不得使用玻璃、金属等可能存在安全隐患的材质。</w:t>
            </w:r>
          </w:p>
          <w:p w14:paraId="2BD1539F">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rPr>
              <w:t>（2）所供食材必须符合国家行业生产及经营标准，食材包装标签应符合《食品安全国家标准预包装食品标签通则》(GB7718)要求，包括食材名称、配料表、净含量、规格、生产者(或)经销者的名称、地址和联系方式、生产日期和保质期、贮存条件、食品生产许可证编号、产品标准代号等内容，标签上附有产地、食品安全等溯源信息。</w:t>
            </w:r>
          </w:p>
        </w:tc>
        <w:tc>
          <w:tcPr>
            <w:tcW w:w="1631" w:type="pct"/>
            <w:tcBorders>
              <w:top w:val="single" w:color="auto" w:sz="4" w:space="0"/>
              <w:left w:val="single" w:color="auto" w:sz="4" w:space="0"/>
              <w:bottom w:val="single" w:color="auto" w:sz="4" w:space="0"/>
              <w:right w:val="single" w:color="auto" w:sz="4" w:space="0"/>
            </w:tcBorders>
          </w:tcPr>
          <w:p w14:paraId="12D2ABD3">
            <w:pPr>
              <w:widowControl/>
              <w:spacing w:line="360" w:lineRule="auto"/>
              <w:ind w:left="0" w:leftChars="0" w:right="0" w:rightChars="0" w:firstLine="0" w:firstLineChars="0"/>
              <w:jc w:val="left"/>
              <w:rPr>
                <w:rFonts w:hint="eastAsia" w:ascii="宋体" w:hAnsi="宋体" w:eastAsia="宋体" w:cs="宋体"/>
                <w:sz w:val="24"/>
                <w:szCs w:val="24"/>
              </w:rPr>
            </w:pPr>
          </w:p>
        </w:tc>
      </w:tr>
      <w:tr w14:paraId="6750E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767428D3">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3</w:t>
            </w:r>
          </w:p>
        </w:tc>
        <w:tc>
          <w:tcPr>
            <w:tcW w:w="2779" w:type="pct"/>
            <w:tcBorders>
              <w:top w:val="single" w:color="auto" w:sz="4" w:space="0"/>
              <w:left w:val="single" w:color="auto" w:sz="4" w:space="0"/>
              <w:bottom w:val="single" w:color="auto" w:sz="4" w:space="0"/>
              <w:right w:val="single" w:color="auto" w:sz="4" w:space="0"/>
            </w:tcBorders>
          </w:tcPr>
          <w:p w14:paraId="33DD6C4F">
            <w:pPr>
              <w:pStyle w:val="4"/>
              <w:numPr>
                <w:ilvl w:val="0"/>
                <w:numId w:val="0"/>
              </w:num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食材采购要求</w:t>
            </w:r>
          </w:p>
          <w:p w14:paraId="178D7260">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所有食品的来源必须清晰，保质期在2个月以上，收货日期距保质期仍有2/3或以上，保质期2个月以下，收货日期距保质期仍有1/2或以上。同一批次同一种货物需附相应合格证明、检测报告等以能证明其货物属于质量合格产品的证件，以备采购人核验。</w:t>
            </w:r>
          </w:p>
          <w:p w14:paraId="577E4B99">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采购的食材须有固定合作的种植基地及稳定的货源，具有追踪溯源体系，采购的食材须是新鲜、低农残、无污染的；送的干杂类须是正规厂家并具有合格证书且无任何添加剂的优质产品；供应商应承诺采购食材应按大宗采购；严格按照采购人要求采购；因运输装卸过程中造成的损耗(例如包装严重变形、破损、食品污染、变异等)，必须无条件及时更换。</w:t>
            </w:r>
          </w:p>
          <w:p w14:paraId="18A8BC91">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食材采购从食材生产单位、批发市场等采购的，应当查验、索取并留存供货者的相关许可证和产品合格证明等文件;从固定供货商或者供货基地采购的，应当查验、索取并留存供货商或者供货基地的资质证明、每笔供货清单等;从超市、农贸市场、个体工商户、农户等采购的，应当索取并留存采购清单等有关凭证，做到源头可控，有据可查。</w:t>
            </w:r>
          </w:p>
          <w:p w14:paraId="01E3EED9">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为推动脱贫地区农副产品的发展，按照采购人要求，部分食材需在“832平台”上进行采购，完成学校规定的年度采购任务，在该平台上采购的食材为不可竞争费用，最终结算以“832平台”上采购价格及实际采购数量据实结算。</w:t>
            </w:r>
          </w:p>
        </w:tc>
        <w:tc>
          <w:tcPr>
            <w:tcW w:w="1631" w:type="pct"/>
            <w:tcBorders>
              <w:top w:val="single" w:color="auto" w:sz="4" w:space="0"/>
              <w:left w:val="single" w:color="auto" w:sz="4" w:space="0"/>
              <w:bottom w:val="single" w:color="auto" w:sz="4" w:space="0"/>
              <w:right w:val="single" w:color="auto" w:sz="4" w:space="0"/>
            </w:tcBorders>
          </w:tcPr>
          <w:p w14:paraId="3402B7C6">
            <w:pPr>
              <w:widowControl/>
              <w:spacing w:line="360" w:lineRule="auto"/>
              <w:ind w:left="0" w:leftChars="0" w:right="0" w:rightChars="0" w:firstLine="0" w:firstLineChars="0"/>
              <w:jc w:val="left"/>
              <w:rPr>
                <w:rFonts w:hint="eastAsia" w:ascii="宋体" w:hAnsi="宋体" w:eastAsia="宋体" w:cs="宋体"/>
                <w:sz w:val="24"/>
                <w:szCs w:val="24"/>
              </w:rPr>
            </w:pPr>
          </w:p>
        </w:tc>
      </w:tr>
      <w:tr w14:paraId="6E3F7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26F3D5A2">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4</w:t>
            </w:r>
          </w:p>
        </w:tc>
        <w:tc>
          <w:tcPr>
            <w:tcW w:w="2779" w:type="pct"/>
            <w:tcBorders>
              <w:top w:val="single" w:color="auto" w:sz="4" w:space="0"/>
              <w:left w:val="single" w:color="auto" w:sz="4" w:space="0"/>
              <w:bottom w:val="single" w:color="auto" w:sz="4" w:space="0"/>
              <w:right w:val="single" w:color="auto" w:sz="4" w:space="0"/>
            </w:tcBorders>
          </w:tcPr>
          <w:p w14:paraId="3F2A19E4">
            <w:pPr>
              <w:pStyle w:val="4"/>
              <w:numPr>
                <w:ilvl w:val="0"/>
                <w:numId w:val="0"/>
              </w:num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食材配送要求</w:t>
            </w:r>
          </w:p>
          <w:p w14:paraId="2B1E4DB0">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供应商应按采购人计划和要求及时保质保量配送，保障学校食堂正常运行。供应商必须按采购文件的要求，配送新鲜的食材，保证食材的食品安全;凡配送的食材质量、数量与要求不符时，采购人有权拒收，并由供应商承担由此造成的直接经济损失。如遇特殊情况，供应商应在接到采购人食材清单三小时内运送到指定的地点。</w:t>
            </w:r>
          </w:p>
          <w:p w14:paraId="5750B88B">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（2）运输工具、配送人员、包装材料和运输途中的防护措施必须符合相关规定和要求。配送车辆和人员进入校园，必须遵守学校相关规定。</w:t>
            </w:r>
          </w:p>
          <w:p w14:paraId="0CAF2134">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供应商针对此次保障项目，应在公司内部指定专门的人员负责，配备专用运输车进行配送保障(专车专用，如更换车辆需提前报备新车辆信息)，到达采购人指定地点时，由供应商负责卸货搬运。食品运输必须采用符合卫生标准的外包装和运载工具，并且要保持清洁和定期消毒。车厢内无不良气味、异味。整个运输过程应科学合理，运输车辆应定期清洁。食品堆放科学合理避免造成食品的交叉污染。</w:t>
            </w:r>
          </w:p>
          <w:p w14:paraId="44FDC08B">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（4）供应商具备组织配送、调运、包装、二次搬运的能力，配送的食材若出现任何问题，在采购人规定的时间内重新配送。</w:t>
            </w:r>
          </w:p>
          <w:p w14:paraId="42B38655">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（5）供应商必须按采购人所填订单配送，按规定时间送达，保障学校食堂正常运行。确保配送的食品优质、安全、可靠，确保运输安全，无条件更换运输过程中受到污染或变质的食品所需费用由供应商承担。</w:t>
            </w:r>
          </w:p>
          <w:p w14:paraId="5C7FAEC2">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（6）供应商在配送过程中要做好保鲜、保质措施，同时不得喷酒有毒有害物质进行保鲜或保质。否则一经查实，成交供应商将被取消供应资格，同时承担相应的责任。</w:t>
            </w:r>
          </w:p>
          <w:p w14:paraId="264CA06F">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（7）建立出入库台账。成交供应商对所供产品的食品安全负责。采购人将定期或不定期地对食材供应配送工作进行督查。对供应商提供不合格食材或不按要求配送，造成责任事故的将追究其法律责任。</w:t>
            </w:r>
          </w:p>
          <w:p w14:paraId="29002835">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（8）供应商在项目完成期间，严格明确安全责任，服从采购人的日常管理和检查，有健全的安全管理制度，保证工作人员安全。如因供应商原因导致发生任何安全事故或造成人员伤亡的，由供应商完全负责。</w:t>
            </w:r>
          </w:p>
        </w:tc>
        <w:tc>
          <w:tcPr>
            <w:tcW w:w="1631" w:type="pct"/>
            <w:tcBorders>
              <w:top w:val="single" w:color="auto" w:sz="4" w:space="0"/>
              <w:left w:val="single" w:color="auto" w:sz="4" w:space="0"/>
              <w:bottom w:val="single" w:color="auto" w:sz="4" w:space="0"/>
              <w:right w:val="single" w:color="auto" w:sz="4" w:space="0"/>
            </w:tcBorders>
          </w:tcPr>
          <w:p w14:paraId="7AAD87CB">
            <w:pPr>
              <w:widowControl/>
              <w:spacing w:line="360" w:lineRule="auto"/>
              <w:ind w:left="0" w:leftChars="0" w:right="0" w:rightChars="0" w:firstLine="0" w:firstLineChars="0"/>
              <w:jc w:val="left"/>
              <w:rPr>
                <w:rFonts w:hint="eastAsia" w:ascii="宋体" w:hAnsi="宋体" w:eastAsia="宋体" w:cs="宋体"/>
                <w:sz w:val="24"/>
                <w:szCs w:val="24"/>
              </w:rPr>
            </w:pPr>
          </w:p>
        </w:tc>
      </w:tr>
      <w:tr w14:paraId="7B0C1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9" w:hRule="atLeast"/>
          <w:jc w:val="center"/>
        </w:trPr>
        <w:tc>
          <w:tcPr>
            <w:tcW w:w="589" w:type="pct"/>
            <w:tcBorders>
              <w:top w:val="single" w:color="auto" w:sz="4" w:space="0"/>
              <w:left w:val="single" w:color="auto" w:sz="4" w:space="0"/>
              <w:bottom w:val="single" w:color="auto" w:sz="4" w:space="0"/>
              <w:right w:val="single" w:color="auto" w:sz="4" w:space="0"/>
            </w:tcBorders>
          </w:tcPr>
          <w:p w14:paraId="14F3CC52">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5</w:t>
            </w:r>
          </w:p>
        </w:tc>
        <w:tc>
          <w:tcPr>
            <w:tcW w:w="2779" w:type="pct"/>
            <w:tcBorders>
              <w:top w:val="single" w:color="auto" w:sz="4" w:space="0"/>
              <w:left w:val="single" w:color="auto" w:sz="4" w:space="0"/>
              <w:bottom w:val="single" w:color="auto" w:sz="4" w:space="0"/>
              <w:right w:val="single" w:color="auto" w:sz="4" w:space="0"/>
            </w:tcBorders>
          </w:tcPr>
          <w:p w14:paraId="38622EA5">
            <w:pPr>
              <w:pStyle w:val="4"/>
              <w:numPr>
                <w:ilvl w:val="0"/>
                <w:numId w:val="0"/>
              </w:numPr>
              <w:spacing w:line="360" w:lineRule="auto"/>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运输要求 </w:t>
            </w:r>
          </w:p>
          <w:p w14:paraId="6025E96F">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（1）所提供的食材运输应由中标人负责，必须采用符合卫生标准的外包装和运载工具，并且要保持清洁和定期消毒。运输车厢的内仓应使用抗腐蚀、防潮、易清洁消毒的材料。车厢内无不良气味、异味。</w:t>
            </w:r>
          </w:p>
          <w:p w14:paraId="260DBA7B">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冷藏、冷冻食材必须用专用冷藏、冷冻载具运输，应当有必要的保温设备并在整个运输过程中保持安全的冷藏、冷冻温度。特别是对于长途运输的食材，保证食材在运输全过程处于合适的温度范围。整个运输过程应科学合理，运输车辆应定期清洁，保持性能稳定，符合规定的温度要求，使运输食材处于恒定的环境中。运输途中严防日晒、雨淋，注意通风散热；食材应小心轻卸，严防机械损伤。</w:t>
            </w:r>
          </w:p>
          <w:p w14:paraId="0DDB195C">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关于冷冻食材配送，目的地在一小时内的用保温车配送，一小时以外的用制冷车配送，保证冷冻食材中心温度控制在-2℃-7℃的范围之内，保证运输过程冷链不中断。食材到达目的地时外包装箱干爽，无软化现象。</w:t>
            </w:r>
          </w:p>
          <w:p w14:paraId="3977E23B">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卸货要求:送货车辆应保持清洁；食材堆放科学合理，避免造成食材的交叉污染；如对温度有要求的食材应确定食材的温度，记录送货车辆温度，并存档。在卸货过程中应保证冷藏食材脱离冷链时间不得超过20分钟，冷冻食材脱离冷链时间不得超过30分钟。</w:t>
            </w:r>
          </w:p>
        </w:tc>
        <w:tc>
          <w:tcPr>
            <w:tcW w:w="1631" w:type="pct"/>
            <w:tcBorders>
              <w:top w:val="single" w:color="auto" w:sz="4" w:space="0"/>
              <w:left w:val="single" w:color="auto" w:sz="4" w:space="0"/>
              <w:bottom w:val="single" w:color="auto" w:sz="4" w:space="0"/>
              <w:right w:val="single" w:color="auto" w:sz="4" w:space="0"/>
            </w:tcBorders>
          </w:tcPr>
          <w:p w14:paraId="4C83E59A">
            <w:pPr>
              <w:widowControl/>
              <w:spacing w:line="360" w:lineRule="auto"/>
              <w:ind w:left="0" w:leftChars="0" w:right="0" w:rightChars="0" w:firstLine="0" w:firstLineChars="0"/>
              <w:jc w:val="left"/>
              <w:rPr>
                <w:rFonts w:hint="eastAsia" w:ascii="宋体" w:hAnsi="宋体" w:eastAsia="宋体" w:cs="宋体"/>
                <w:sz w:val="24"/>
                <w:szCs w:val="24"/>
              </w:rPr>
            </w:pPr>
          </w:p>
        </w:tc>
      </w:tr>
      <w:tr w14:paraId="50F50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19E663A0">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6</w:t>
            </w:r>
          </w:p>
        </w:tc>
        <w:tc>
          <w:tcPr>
            <w:tcW w:w="2779" w:type="pct"/>
            <w:tcBorders>
              <w:top w:val="single" w:color="auto" w:sz="4" w:space="0"/>
              <w:left w:val="single" w:color="auto" w:sz="4" w:space="0"/>
              <w:bottom w:val="single" w:color="auto" w:sz="4" w:space="0"/>
              <w:right w:val="single" w:color="auto" w:sz="4" w:space="0"/>
            </w:tcBorders>
          </w:tcPr>
          <w:p w14:paraId="41E318A0">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食品安全管理要求</w:t>
            </w:r>
          </w:p>
          <w:p w14:paraId="5611D76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（1）结合自身情况制定健全的食品安全管理制度，应包括索证索票制度、卫生管理制度、进货检查验收制度、储存制度、出库制度、不合格产品处理制度 、培训制度、人员健康监测制度。有食品安全管理组织机构，配有专兼职食品安全管理人员。从业人员持有有效的健康证明(每学期开学前提供有效健康证明)并进行食品安全知识培训。供货商应不定期接受市场监管等相关部门对所提供产品的抽样检查，相关费用由供应商承担。</w:t>
            </w:r>
          </w:p>
          <w:p w14:paraId="7E37ACC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所提供的食材必须符合《中华人民共和国食品安全法》和《中华人民共和国产品质量法》等相关法律法规规定的质量标准，未具体约定的应当符合国家食品安全要求的质量标准；没有国家标准的按照本省地方标准执行；无国家质量标准或本省地方标准的，按照通常标准或者符合合同目的的特定标准履行。不得提供腐败变质、油脂酸败、霉变、生虫、污秽不洁、混有异物或者其他感官性状异常、含有毒有害物质或者被有毒有害物质污染，可能对人体健康有害的物品。</w:t>
            </w:r>
          </w:p>
        </w:tc>
        <w:tc>
          <w:tcPr>
            <w:tcW w:w="1631" w:type="pct"/>
            <w:tcBorders>
              <w:top w:val="single" w:color="auto" w:sz="4" w:space="0"/>
              <w:left w:val="single" w:color="auto" w:sz="4" w:space="0"/>
              <w:bottom w:val="single" w:color="auto" w:sz="4" w:space="0"/>
              <w:right w:val="single" w:color="auto" w:sz="4" w:space="0"/>
            </w:tcBorders>
          </w:tcPr>
          <w:p w14:paraId="375848FE">
            <w:pPr>
              <w:widowControl/>
              <w:spacing w:line="360" w:lineRule="auto"/>
              <w:ind w:left="0" w:leftChars="0" w:right="0" w:rightChars="0" w:firstLine="0" w:firstLineChars="0"/>
              <w:jc w:val="left"/>
              <w:rPr>
                <w:rFonts w:hint="eastAsia" w:ascii="宋体" w:hAnsi="宋体" w:eastAsia="宋体" w:cs="宋体"/>
                <w:sz w:val="24"/>
                <w:szCs w:val="24"/>
              </w:rPr>
            </w:pPr>
          </w:p>
        </w:tc>
      </w:tr>
      <w:tr w14:paraId="07647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62748ED9">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7</w:t>
            </w:r>
          </w:p>
        </w:tc>
        <w:tc>
          <w:tcPr>
            <w:tcW w:w="2779" w:type="pct"/>
            <w:tcBorders>
              <w:top w:val="single" w:color="auto" w:sz="4" w:space="0"/>
              <w:left w:val="single" w:color="auto" w:sz="4" w:space="0"/>
              <w:bottom w:val="single" w:color="auto" w:sz="4" w:space="0"/>
              <w:right w:val="single" w:color="auto" w:sz="4" w:space="0"/>
            </w:tcBorders>
          </w:tcPr>
          <w:p w14:paraId="744D1E1A">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食材采购溯源要求</w:t>
            </w:r>
          </w:p>
          <w:p w14:paraId="67EE155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（1）需记录食材名称、规格、数量、生产日期/批号、保质期、食材的产地（如种植基地、养殖场所）、采收/屠宰时间、采购日期、运输方式、运输过程中的温度等关键条件（针对冷链食材）、入库验收记录等。</w:t>
            </w:r>
          </w:p>
          <w:p w14:paraId="4A49A4E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（2）建立食材采购信息档案，确保食材从生产、加工、运输到销售的全流程信息可追溯。</w:t>
            </w:r>
          </w:p>
          <w:p w14:paraId="39F9CFD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（3）相关信息应准确、完整，并便于查询，消费者和监管部门可通过扫码等方式获取溯源数据。</w:t>
            </w:r>
          </w:p>
          <w:p w14:paraId="67B54FA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（4）供应商对溯源信息的真实性和完整性负责，若食材出现任何问题，由供应商承担全部责任。</w:t>
            </w:r>
          </w:p>
        </w:tc>
        <w:tc>
          <w:tcPr>
            <w:tcW w:w="1631" w:type="pct"/>
            <w:tcBorders>
              <w:top w:val="single" w:color="auto" w:sz="4" w:space="0"/>
              <w:left w:val="single" w:color="auto" w:sz="4" w:space="0"/>
              <w:bottom w:val="single" w:color="auto" w:sz="4" w:space="0"/>
              <w:right w:val="single" w:color="auto" w:sz="4" w:space="0"/>
            </w:tcBorders>
          </w:tcPr>
          <w:p w14:paraId="039BB467">
            <w:pPr>
              <w:widowControl/>
              <w:spacing w:line="360" w:lineRule="auto"/>
              <w:ind w:left="0" w:leftChars="0" w:right="0" w:rightChars="0" w:firstLine="0" w:firstLineChars="0"/>
              <w:jc w:val="left"/>
              <w:rPr>
                <w:rFonts w:hint="eastAsia" w:ascii="宋体" w:hAnsi="宋体" w:eastAsia="宋体" w:cs="宋体"/>
                <w:sz w:val="24"/>
                <w:szCs w:val="24"/>
              </w:rPr>
            </w:pPr>
          </w:p>
        </w:tc>
      </w:tr>
      <w:tr w14:paraId="2BE52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64E92769">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8</w:t>
            </w:r>
          </w:p>
        </w:tc>
        <w:tc>
          <w:tcPr>
            <w:tcW w:w="2779" w:type="pct"/>
            <w:tcBorders>
              <w:top w:val="single" w:color="auto" w:sz="4" w:space="0"/>
              <w:left w:val="single" w:color="auto" w:sz="4" w:space="0"/>
              <w:bottom w:val="single" w:color="auto" w:sz="4" w:space="0"/>
              <w:right w:val="single" w:color="auto" w:sz="4" w:space="0"/>
            </w:tcBorders>
          </w:tcPr>
          <w:p w14:paraId="0B8A61DC">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供应商履约约束与违约责任</w:t>
            </w:r>
          </w:p>
          <w:p w14:paraId="749F601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周期内，无论市场原材料价格上涨、下跌，供应商不得单方面拒绝供货、擅自涨价、变相降低食材品质；若因拒供、断供、涨价造成学校食堂停餐、临时高价采购等损失，全部经济损失由供应商赔付，采购人有权终止合同。</w:t>
            </w:r>
          </w:p>
          <w:p w14:paraId="350AF62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供应商实际履约过程中，若采购人核查发现配送场地、冷链车辆、基地资质、人员配置、检测设备、服务团队等现场条件与投标文件承诺材料不一致，存在虚假响应、伪造资质、夸大履约能力等弄虚作假情形，采购人有权单方终止供货合同、并追究供应商全部经济损失，并上报财政监管部门。</w:t>
            </w:r>
          </w:p>
          <w:p w14:paraId="06EC3E1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（3）供应商在项目实施期间，严格明确安全责任，服从采购人的日常管理和检查，有健全的安全管理制度，保证工作人员安全。如因供应商原因导致发生任何安全事故或造成人员伤亡的，由供应商完全负责。</w:t>
            </w:r>
          </w:p>
          <w:p w14:paraId="62B442D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（4）单次供货食材抽检不合格，该批次全部退回，供应商 24 小时内免费补货；同一学年累计 2 次及以上抽检不合格，采购人有权解除合同。</w:t>
            </w:r>
          </w:p>
          <w:p w14:paraId="3E3D7F0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（5）因供应商食材问题引发师生食物中毒、群体性食源性疾病等食品安全事故，供应商承担全部医疗费、赔偿金、行政处罚费用，采购人立即终止合同并追究法律责任。</w:t>
            </w:r>
          </w:p>
          <w:p w14:paraId="4BAE07B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（6）供应商不得转包、分包本项目配送业务，未经采购人书面许可擅自分包的，视为严重违约，采购人直接解除合同。</w:t>
            </w:r>
          </w:p>
          <w:p w14:paraId="3A1BD7B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（7）供应商具有食材本地化配送及售后保障能力。</w:t>
            </w:r>
          </w:p>
        </w:tc>
        <w:tc>
          <w:tcPr>
            <w:tcW w:w="1631" w:type="pct"/>
            <w:tcBorders>
              <w:top w:val="single" w:color="auto" w:sz="4" w:space="0"/>
              <w:left w:val="single" w:color="auto" w:sz="4" w:space="0"/>
              <w:bottom w:val="single" w:color="auto" w:sz="4" w:space="0"/>
              <w:right w:val="single" w:color="auto" w:sz="4" w:space="0"/>
            </w:tcBorders>
          </w:tcPr>
          <w:p w14:paraId="476E33A1">
            <w:pPr>
              <w:widowControl/>
              <w:spacing w:line="360" w:lineRule="auto"/>
              <w:ind w:left="0" w:leftChars="0" w:right="0" w:rightChars="0" w:firstLine="0" w:firstLineChars="0"/>
              <w:jc w:val="left"/>
              <w:rPr>
                <w:rFonts w:hint="eastAsia" w:ascii="宋体" w:hAnsi="宋体" w:eastAsia="宋体" w:cs="宋体"/>
                <w:sz w:val="24"/>
                <w:szCs w:val="24"/>
              </w:rPr>
            </w:pPr>
          </w:p>
        </w:tc>
      </w:tr>
      <w:tr w14:paraId="258D1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42BFD36B">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9</w:t>
            </w:r>
          </w:p>
        </w:tc>
        <w:tc>
          <w:tcPr>
            <w:tcW w:w="2779" w:type="pct"/>
            <w:tcBorders>
              <w:top w:val="single" w:color="auto" w:sz="4" w:space="0"/>
              <w:left w:val="single" w:color="auto" w:sz="4" w:space="0"/>
              <w:bottom w:val="single" w:color="auto" w:sz="4" w:space="0"/>
              <w:right w:val="single" w:color="auto" w:sz="4" w:space="0"/>
            </w:tcBorders>
          </w:tcPr>
          <w:p w14:paraId="770B32AC">
            <w:pPr>
              <w:pStyle w:val="4"/>
              <w:numPr>
                <w:ilvl w:val="0"/>
                <w:numId w:val="0"/>
              </w:numPr>
              <w:spacing w:line="360" w:lineRule="auto"/>
              <w:ind w:left="0" w:leftChars="0" w:firstLine="482" w:firstLineChars="200"/>
              <w:rPr>
                <w:rFonts w:hint="eastAsia" w:ascii="宋体" w:hAnsi="宋体" w:cs="宋体"/>
                <w:b/>
                <w:bCs/>
                <w:sz w:val="24"/>
                <w:szCs w:val="24"/>
                <w:lang w:val="en-US" w:eastAsia="zh-CN"/>
              </w:rPr>
            </w:pPr>
            <w:r>
              <w:rPr>
                <w:rFonts w:hint="eastAsia" w:ascii="宋体" w:hAnsi="宋体" w:cs="宋体"/>
                <w:b/>
                <w:bCs/>
                <w:sz w:val="24"/>
                <w:szCs w:val="24"/>
                <w:lang w:val="en-US" w:eastAsia="zh-CN"/>
              </w:rPr>
              <w:t>结算方式：据实结算</w:t>
            </w:r>
          </w:p>
          <w:p w14:paraId="0BC8C4F7">
            <w:pPr>
              <w:pStyle w:val="4"/>
              <w:numPr>
                <w:ilvl w:val="0"/>
                <w:numId w:val="0"/>
              </w:numPr>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根据供应商提供的供货清单，每半个月（月初和月中）进行一次市场价格调查，由学校和供应商代表组成询价小组在渭南市内大型超市进行价格询价，月初和月中询价结果的平均值作为近半个月以内的结算基准价。据实结算=结算基准价*（1-中标下浮率）</w:t>
            </w:r>
            <w:bookmarkStart w:id="0" w:name="_GoBack"/>
            <w:bookmarkEnd w:id="0"/>
          </w:p>
        </w:tc>
        <w:tc>
          <w:tcPr>
            <w:tcW w:w="1631" w:type="pct"/>
            <w:tcBorders>
              <w:top w:val="single" w:color="auto" w:sz="4" w:space="0"/>
              <w:left w:val="single" w:color="auto" w:sz="4" w:space="0"/>
              <w:bottom w:val="single" w:color="auto" w:sz="4" w:space="0"/>
              <w:right w:val="single" w:color="auto" w:sz="4" w:space="0"/>
            </w:tcBorders>
          </w:tcPr>
          <w:p w14:paraId="06C600C6">
            <w:pPr>
              <w:widowControl/>
              <w:spacing w:line="360" w:lineRule="auto"/>
              <w:ind w:left="0" w:leftChars="0" w:right="0" w:rightChars="0" w:firstLine="0" w:firstLineChars="0"/>
              <w:jc w:val="left"/>
              <w:rPr>
                <w:rFonts w:hint="eastAsia" w:ascii="宋体" w:hAnsi="宋体" w:eastAsia="宋体" w:cs="宋体"/>
                <w:sz w:val="24"/>
                <w:szCs w:val="24"/>
              </w:rPr>
            </w:pPr>
          </w:p>
        </w:tc>
      </w:tr>
      <w:tr w14:paraId="3E8C0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7DE008FB">
            <w:pPr>
              <w:widowControl/>
              <w:spacing w:line="360" w:lineRule="auto"/>
              <w:ind w:left="0" w:leftChars="0" w:right="0" w:rightChars="0" w:firstLine="0" w:firstLineChars="0"/>
              <w:jc w:val="center"/>
              <w:rPr>
                <w:rFonts w:hint="eastAsia" w:ascii="宋体" w:hAnsi="宋体" w:cs="宋体"/>
                <w:sz w:val="24"/>
                <w:szCs w:val="24"/>
                <w:lang w:val="en-US" w:eastAsia="zh-CN"/>
              </w:rPr>
            </w:pPr>
            <w:r>
              <w:rPr>
                <w:rFonts w:hint="eastAsia" w:ascii="宋体" w:hAnsi="宋体" w:cs="宋体"/>
                <w:sz w:val="24"/>
                <w:szCs w:val="24"/>
                <w:lang w:val="en-US" w:eastAsia="zh-CN"/>
              </w:rPr>
              <w:t>……</w:t>
            </w:r>
          </w:p>
        </w:tc>
        <w:tc>
          <w:tcPr>
            <w:tcW w:w="2779" w:type="pct"/>
            <w:tcBorders>
              <w:top w:val="single" w:color="auto" w:sz="4" w:space="0"/>
              <w:left w:val="single" w:color="auto" w:sz="4" w:space="0"/>
              <w:bottom w:val="single" w:color="auto" w:sz="4" w:space="0"/>
              <w:right w:val="single" w:color="auto" w:sz="4" w:space="0"/>
            </w:tcBorders>
          </w:tcPr>
          <w:p w14:paraId="03AE2556">
            <w:pPr>
              <w:pStyle w:val="4"/>
              <w:numPr>
                <w:ilvl w:val="0"/>
                <w:numId w:val="0"/>
              </w:numPr>
              <w:spacing w:line="360" w:lineRule="auto"/>
              <w:ind w:left="0" w:leftChars="0" w:firstLine="480" w:firstLineChars="200"/>
              <w:rPr>
                <w:rFonts w:hint="eastAsia" w:ascii="宋体" w:hAnsi="宋体" w:eastAsia="宋体" w:cs="宋体"/>
                <w:b w:val="0"/>
                <w:bCs w:val="0"/>
                <w:color w:val="auto"/>
                <w:sz w:val="24"/>
                <w:szCs w:val="24"/>
                <w:lang w:val="en-US" w:eastAsia="zh-CN"/>
              </w:rPr>
            </w:pPr>
          </w:p>
        </w:tc>
        <w:tc>
          <w:tcPr>
            <w:tcW w:w="1631" w:type="pct"/>
            <w:tcBorders>
              <w:top w:val="single" w:color="auto" w:sz="4" w:space="0"/>
              <w:left w:val="single" w:color="auto" w:sz="4" w:space="0"/>
              <w:bottom w:val="single" w:color="auto" w:sz="4" w:space="0"/>
              <w:right w:val="single" w:color="auto" w:sz="4" w:space="0"/>
            </w:tcBorders>
          </w:tcPr>
          <w:p w14:paraId="26071013">
            <w:pPr>
              <w:widowControl/>
              <w:spacing w:line="360" w:lineRule="auto"/>
              <w:ind w:left="0" w:leftChars="0" w:right="0" w:rightChars="0" w:firstLine="0" w:firstLineChars="0"/>
              <w:jc w:val="left"/>
              <w:rPr>
                <w:rFonts w:hint="eastAsia" w:ascii="宋体" w:hAnsi="宋体" w:eastAsia="宋体" w:cs="宋体"/>
                <w:sz w:val="24"/>
                <w:szCs w:val="24"/>
              </w:rPr>
            </w:pPr>
          </w:p>
        </w:tc>
      </w:tr>
    </w:tbl>
    <w:p w14:paraId="33F72F20">
      <w:pPr>
        <w:widowControl/>
        <w:spacing w:line="360" w:lineRule="auto"/>
        <w:ind w:firstLine="560" w:firstLineChars="200"/>
        <w:jc w:val="left"/>
        <w:rPr>
          <w:rFonts w:ascii="宋体" w:hAnsi="宋体" w:cs="宋体"/>
          <w:sz w:val="28"/>
          <w:szCs w:val="28"/>
        </w:rPr>
      </w:pPr>
      <w:r>
        <w:rPr>
          <w:rFonts w:hint="eastAsia" w:ascii="宋体" w:hAnsi="宋体" w:cs="宋体"/>
          <w:sz w:val="28"/>
          <w:szCs w:val="28"/>
        </w:rPr>
        <w:t>注：1以上表格格式行、列可增</w:t>
      </w:r>
      <w:r>
        <w:rPr>
          <w:rFonts w:hint="eastAsia" w:ascii="宋体" w:hAnsi="宋体" w:cs="宋体"/>
          <w:sz w:val="28"/>
          <w:szCs w:val="28"/>
          <w:lang w:val="en-US" w:eastAsia="zh-CN"/>
        </w:rPr>
        <w:t>加，但不得减少</w:t>
      </w:r>
      <w:r>
        <w:rPr>
          <w:rFonts w:hint="eastAsia" w:ascii="宋体" w:hAnsi="宋体" w:cs="宋体"/>
          <w:sz w:val="28"/>
          <w:szCs w:val="28"/>
        </w:rPr>
        <w:t>。</w:t>
      </w:r>
    </w:p>
    <w:p w14:paraId="6B8476A0">
      <w:pPr>
        <w:rPr>
          <w:rFonts w:ascii="宋体" w:hAnsi="宋体" w:cs="宋体"/>
          <w:b/>
          <w:bCs/>
          <w:sz w:val="28"/>
          <w:szCs w:val="28"/>
        </w:rPr>
      </w:pPr>
    </w:p>
    <w:p w14:paraId="12AFE66E">
      <w:pPr>
        <w:spacing w:line="500" w:lineRule="exact"/>
        <w:ind w:firstLine="4320" w:firstLineChars="1800"/>
        <w:rPr>
          <w:rFonts w:hint="eastAsia" w:ascii="宋体" w:hAnsi="宋体" w:cs="宋体"/>
          <w:sz w:val="24"/>
        </w:rPr>
      </w:pPr>
      <w:r>
        <w:rPr>
          <w:rFonts w:hint="eastAsia" w:ascii="宋体" w:hAnsi="宋体" w:cs="宋体"/>
          <w:sz w:val="24"/>
        </w:rPr>
        <w:t>投标人（</w:t>
      </w:r>
      <w:r>
        <w:rPr>
          <w:rFonts w:hint="eastAsia" w:ascii="宋体" w:hAnsi="宋体" w:cs="宋体"/>
          <w:sz w:val="24"/>
          <w:lang w:val="en-US" w:eastAsia="zh-CN"/>
        </w:rPr>
        <w:t>签</w:t>
      </w:r>
      <w:r>
        <w:rPr>
          <w:rFonts w:hint="eastAsia" w:ascii="宋体" w:hAnsi="宋体" w:cs="宋体"/>
          <w:sz w:val="24"/>
        </w:rPr>
        <w:t>章）：</w:t>
      </w:r>
      <w:r>
        <w:rPr>
          <w:rFonts w:ascii="宋体" w:hAnsi="宋体" w:cs="宋体"/>
          <w:sz w:val="24"/>
          <w:u w:val="single"/>
        </w:rPr>
        <w:t xml:space="preserve">                 </w:t>
      </w:r>
      <w:r>
        <w:rPr>
          <w:rFonts w:hint="eastAsia" w:ascii="宋体" w:hAnsi="宋体" w:cs="宋体"/>
          <w:sz w:val="24"/>
          <w:u w:val="single"/>
        </w:rPr>
        <w:t xml:space="preserve">       </w:t>
      </w:r>
      <w:r>
        <w:rPr>
          <w:rFonts w:ascii="宋体" w:hAnsi="宋体" w:cs="宋体"/>
          <w:sz w:val="24"/>
          <w:u w:val="single"/>
        </w:rPr>
        <w:t xml:space="preserve">    </w:t>
      </w:r>
    </w:p>
    <w:p w14:paraId="4A968D39">
      <w:pPr>
        <w:ind w:firstLine="1920" w:firstLineChars="800"/>
        <w:rPr>
          <w:rFonts w:hint="eastAsia" w:ascii="宋体" w:hAnsi="宋体" w:eastAsia="宋体" w:cs="宋体"/>
          <w:sz w:val="24"/>
          <w:lang w:val="en-US" w:eastAsia="zh-CN"/>
        </w:rPr>
      </w:pPr>
      <w:r>
        <w:rPr>
          <w:rFonts w:hint="eastAsia" w:ascii="宋体" w:hAnsi="宋体" w:cs="宋体"/>
          <w:sz w:val="24"/>
          <w:lang w:val="en-US" w:eastAsia="zh-CN"/>
        </w:rPr>
        <w:t xml:space="preserve"> </w:t>
      </w:r>
    </w:p>
    <w:p w14:paraId="75EB501D">
      <w:pPr>
        <w:ind w:firstLine="5280" w:firstLineChars="2200"/>
      </w:pPr>
      <w:r>
        <w:rPr>
          <w:rFonts w:hint="eastAsia" w:ascii="宋体" w:hAnsi="宋体" w:cs="宋体"/>
          <w:sz w:val="24"/>
        </w:rPr>
        <w:t>年   月   日</w:t>
      </w:r>
    </w:p>
    <w:p w14:paraId="4EC5452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EE2D60"/>
    <w:rsid w:val="00006953"/>
    <w:rsid w:val="000E2E1D"/>
    <w:rsid w:val="00221E9F"/>
    <w:rsid w:val="00384BF6"/>
    <w:rsid w:val="00394815"/>
    <w:rsid w:val="003B4566"/>
    <w:rsid w:val="00406B18"/>
    <w:rsid w:val="00684B6B"/>
    <w:rsid w:val="006C704D"/>
    <w:rsid w:val="00913528"/>
    <w:rsid w:val="00935EBD"/>
    <w:rsid w:val="009A35D2"/>
    <w:rsid w:val="00E7628C"/>
    <w:rsid w:val="00EF3E4A"/>
    <w:rsid w:val="00F918A5"/>
    <w:rsid w:val="00FA2053"/>
    <w:rsid w:val="13165847"/>
    <w:rsid w:val="1FFAA9F5"/>
    <w:rsid w:val="268912C6"/>
    <w:rsid w:val="357B2CD2"/>
    <w:rsid w:val="395A0218"/>
    <w:rsid w:val="60CD4821"/>
    <w:rsid w:val="6CEE2D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qFormat/>
    <w:uiPriority w:val="0"/>
    <w:pPr>
      <w:keepNext/>
      <w:keepLines/>
      <w:spacing w:line="360" w:lineRule="auto"/>
      <w:ind w:firstLine="200" w:firstLineChars="200"/>
      <w:outlineLvl w:val="2"/>
    </w:pPr>
    <w:rPr>
      <w:rFonts w:eastAsia="黑体"/>
      <w:b/>
      <w:bCs/>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2"/>
    <w:unhideWhenUsed/>
    <w:qFormat/>
    <w:uiPriority w:val="0"/>
    <w:pPr>
      <w:jc w:val="left"/>
    </w:pPr>
  </w:style>
  <w:style w:type="paragraph" w:styleId="4">
    <w:name w:val="Body Text"/>
    <w:basedOn w:val="1"/>
    <w:qFormat/>
    <w:uiPriority w:val="0"/>
    <w:pPr>
      <w:spacing w:after="120"/>
    </w:p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toc 2"/>
    <w:basedOn w:val="1"/>
    <w:next w:val="1"/>
    <w:qFormat/>
    <w:uiPriority w:val="0"/>
    <w:pPr>
      <w:ind w:left="240"/>
    </w:pPr>
    <w:rPr>
      <w:smallCaps/>
      <w:szCs w:val="2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unhideWhenUsed/>
    <w:qFormat/>
    <w:uiPriority w:val="99"/>
    <w:rPr>
      <w:sz w:val="21"/>
      <w:szCs w:val="21"/>
    </w:rPr>
  </w:style>
  <w:style w:type="character" w:customStyle="1" w:styleId="12">
    <w:name w:val="批注文字 字符"/>
    <w:basedOn w:val="10"/>
    <w:link w:val="3"/>
    <w:qFormat/>
    <w:uiPriority w:val="0"/>
    <w:rPr>
      <w:rFonts w:ascii="Calibri" w:hAnsi="Calibri" w:eastAsia="宋体" w:cs="Times New Roman"/>
      <w:kern w:val="2"/>
      <w:sz w:val="21"/>
      <w:szCs w:val="22"/>
    </w:rPr>
  </w:style>
  <w:style w:type="character" w:customStyle="1" w:styleId="13">
    <w:name w:val="页眉 字符"/>
    <w:basedOn w:val="10"/>
    <w:link w:val="6"/>
    <w:qFormat/>
    <w:uiPriority w:val="0"/>
    <w:rPr>
      <w:rFonts w:ascii="Calibri" w:hAnsi="Calibri" w:eastAsia="宋体" w:cs="Times New Roman"/>
      <w:kern w:val="2"/>
      <w:sz w:val="18"/>
      <w:szCs w:val="18"/>
    </w:rPr>
  </w:style>
  <w:style w:type="character" w:customStyle="1" w:styleId="14">
    <w:name w:val="页脚 字符"/>
    <w:basedOn w:val="10"/>
    <w:link w:val="5"/>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3743</Words>
  <Characters>3846</Characters>
  <Lines>1</Lines>
  <Paragraphs>1</Paragraphs>
  <TotalTime>0</TotalTime>
  <ScaleCrop>false</ScaleCrop>
  <LinksUpToDate>false</LinksUpToDate>
  <CharactersWithSpaces>3887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2022-03-16T19:13:00Z</dcterms:created>
  <dc:creator>陕西省政府采购综合管理平台</dc:creator>
  <cp:lastModifiedBy>WPS_1730446345</cp:lastModifiedBy>
  <dcterms:modified xsi:type="dcterms:W3CDTF">2026-07-30T04:03:42Z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eyJoZGlkIjoiNzRmYTc3NGRiZGYyYzEyMDJmNGQwMjAyYmI3NjZiYWUiLCJ1c2VySWQiOiIxNjUwNzU2NTAyIn0=</vt:lpwstr>
  </property>
  <property fmtid="{D5CDD505-2E9C-101B-9397-08002B2CF9AE}" pid="4" name="ICV">
    <vt:lpwstr>B5B380B5F3154A128CB77235ED7AC905_12</vt:lpwstr>
  </property>
</Properties>
</file>