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F26E">
      <w:pPr>
        <w:keepNext/>
        <w:keepLines/>
        <w:spacing w:line="360" w:lineRule="auto"/>
        <w:jc w:val="center"/>
        <w:outlineLvl w:val="2"/>
        <w:rPr>
          <w:rFonts w:ascii="宋体" w:hAnsi="宋体" w:cs="宋体"/>
          <w:b/>
          <w:bCs/>
          <w:sz w:val="28"/>
          <w:szCs w:val="28"/>
        </w:rPr>
      </w:pPr>
      <w:r>
        <w:rPr>
          <w:rFonts w:hint="eastAsia" w:ascii="宋体" w:hAnsi="宋体" w:cs="宋体"/>
          <w:b/>
          <w:bCs/>
          <w:sz w:val="28"/>
          <w:szCs w:val="28"/>
        </w:rPr>
        <w:t>服务内容及服务要求应答表</w:t>
      </w:r>
    </w:p>
    <w:p w14:paraId="3C2D23A1">
      <w:pPr>
        <w:spacing w:line="360" w:lineRule="auto"/>
        <w:ind w:left="1532" w:hanging="1532" w:hangingChars="545"/>
        <w:rPr>
          <w:b/>
          <w:bCs/>
          <w:sz w:val="28"/>
          <w:szCs w:val="28"/>
        </w:rPr>
      </w:pPr>
      <w:r>
        <w:rPr>
          <w:rFonts w:hint="eastAsia"/>
          <w:b/>
          <w:bCs/>
          <w:sz w:val="28"/>
          <w:szCs w:val="28"/>
        </w:rPr>
        <w:t>采购项目名称：</w:t>
      </w:r>
      <w:r>
        <w:rPr>
          <w:sz w:val="28"/>
          <w:szCs w:val="28"/>
        </w:rPr>
        <w:t>{</w:t>
      </w:r>
      <w:r>
        <w:rPr>
          <w:rFonts w:hint="eastAsia"/>
          <w:sz w:val="28"/>
          <w:szCs w:val="28"/>
          <w:lang w:eastAsia="zh-Hans"/>
        </w:rPr>
        <w:t>请填写采购项目名称</w:t>
      </w:r>
      <w:r>
        <w:rPr>
          <w:sz w:val="28"/>
          <w:szCs w:val="28"/>
        </w:rPr>
        <w:t>}</w:t>
      </w:r>
    </w:p>
    <w:p w14:paraId="2ABC9DC6">
      <w:pPr>
        <w:spacing w:line="360" w:lineRule="auto"/>
        <w:rPr>
          <w:sz w:val="28"/>
          <w:szCs w:val="28"/>
        </w:rPr>
      </w:pPr>
      <w:r>
        <w:rPr>
          <w:rFonts w:hint="eastAsia"/>
          <w:b/>
          <w:bCs/>
          <w:sz w:val="28"/>
          <w:szCs w:val="28"/>
        </w:rPr>
        <w:t>采购项目编号：</w:t>
      </w:r>
      <w:r>
        <w:rPr>
          <w:sz w:val="28"/>
          <w:szCs w:val="28"/>
        </w:rPr>
        <w:t>{</w:t>
      </w:r>
      <w:r>
        <w:rPr>
          <w:rFonts w:hint="eastAsia"/>
          <w:sz w:val="28"/>
          <w:szCs w:val="28"/>
          <w:lang w:eastAsia="zh-Hans"/>
        </w:rPr>
        <w:t>请填写采购项目编号</w:t>
      </w:r>
      <w:r>
        <w:rPr>
          <w:sz w:val="28"/>
          <w:szCs w:val="28"/>
        </w:rPr>
        <w:t>}</w:t>
      </w:r>
    </w:p>
    <w:tbl>
      <w:tblPr>
        <w:tblStyle w:val="8"/>
        <w:tblW w:w="52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5736"/>
        <w:gridCol w:w="2479"/>
      </w:tblGrid>
      <w:tr w14:paraId="0B1B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vAlign w:val="center"/>
          </w:tcPr>
          <w:p w14:paraId="36C8D65D">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779" w:type="pct"/>
            <w:tcBorders>
              <w:top w:val="single" w:color="auto" w:sz="4" w:space="0"/>
              <w:left w:val="single" w:color="auto" w:sz="4" w:space="0"/>
              <w:bottom w:val="single" w:color="auto" w:sz="4" w:space="0"/>
              <w:right w:val="single" w:color="auto" w:sz="4" w:space="0"/>
            </w:tcBorders>
            <w:vAlign w:val="center"/>
          </w:tcPr>
          <w:p w14:paraId="51D48D51">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招标</w:t>
            </w:r>
            <w:r>
              <w:rPr>
                <w:rFonts w:hint="eastAsia" w:ascii="宋体" w:hAnsi="宋体" w:eastAsia="宋体" w:cs="宋体"/>
                <w:b/>
                <w:bCs/>
                <w:sz w:val="24"/>
                <w:szCs w:val="24"/>
              </w:rPr>
              <w:t>文件要求</w:t>
            </w:r>
          </w:p>
        </w:tc>
        <w:tc>
          <w:tcPr>
            <w:tcW w:w="1631" w:type="pct"/>
            <w:tcBorders>
              <w:top w:val="single" w:color="auto" w:sz="4" w:space="0"/>
              <w:left w:val="single" w:color="auto" w:sz="4" w:space="0"/>
              <w:bottom w:val="single" w:color="auto" w:sz="4" w:space="0"/>
              <w:right w:val="single" w:color="auto" w:sz="4" w:space="0"/>
            </w:tcBorders>
            <w:vAlign w:val="center"/>
          </w:tcPr>
          <w:p w14:paraId="59AC3475">
            <w:pPr>
              <w:widowControl/>
              <w:spacing w:line="360" w:lineRule="auto"/>
              <w:ind w:left="0" w:leftChars="0" w:right="0" w:rightChars="0"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投标</w:t>
            </w:r>
            <w:r>
              <w:rPr>
                <w:rFonts w:hint="eastAsia" w:ascii="宋体" w:hAnsi="宋体" w:eastAsia="宋体" w:cs="宋体"/>
                <w:b/>
                <w:bCs/>
                <w:sz w:val="24"/>
                <w:szCs w:val="24"/>
              </w:rPr>
              <w:t>文件</w:t>
            </w:r>
            <w:r>
              <w:rPr>
                <w:rFonts w:hint="eastAsia" w:ascii="宋体" w:hAnsi="宋体" w:eastAsia="宋体" w:cs="宋体"/>
                <w:b/>
                <w:bCs/>
                <w:sz w:val="24"/>
                <w:szCs w:val="24"/>
                <w:lang w:val="en-US" w:eastAsia="zh-CN"/>
              </w:rPr>
              <w:t>响应</w:t>
            </w:r>
          </w:p>
          <w:p w14:paraId="623E4CF7">
            <w:pPr>
              <w:widowControl/>
              <w:spacing w:line="360" w:lineRule="auto"/>
              <w:ind w:left="0" w:leftChars="0" w:right="0" w:rightChars="0" w:firstLine="0" w:firstLineChars="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响应/不响应</w:t>
            </w:r>
            <w:r>
              <w:rPr>
                <w:rFonts w:hint="eastAsia" w:ascii="宋体" w:hAnsi="宋体" w:eastAsia="宋体" w:cs="宋体"/>
                <w:b/>
                <w:bCs/>
                <w:sz w:val="24"/>
                <w:szCs w:val="24"/>
                <w:lang w:eastAsia="zh-CN"/>
              </w:rPr>
              <w:t>）</w:t>
            </w:r>
          </w:p>
        </w:tc>
      </w:tr>
      <w:tr w14:paraId="580F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3CD0B12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779" w:type="pct"/>
            <w:tcBorders>
              <w:top w:val="single" w:color="auto" w:sz="4" w:space="0"/>
              <w:left w:val="single" w:color="auto" w:sz="4" w:space="0"/>
              <w:bottom w:val="single" w:color="auto" w:sz="4" w:space="0"/>
              <w:right w:val="single" w:color="auto" w:sz="4" w:space="0"/>
            </w:tcBorders>
          </w:tcPr>
          <w:p w14:paraId="4D81A003">
            <w:pPr>
              <w:widowControl/>
              <w:spacing w:line="36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为规范和促进本项目的正常实施和推进，供应商须针对本项目安排专业配送服务团队、购买食品安全责任保险、具备相关履约经验。</w:t>
            </w:r>
          </w:p>
        </w:tc>
        <w:tc>
          <w:tcPr>
            <w:tcW w:w="1631" w:type="pct"/>
            <w:tcBorders>
              <w:top w:val="single" w:color="auto" w:sz="4" w:space="0"/>
              <w:left w:val="single" w:color="auto" w:sz="4" w:space="0"/>
              <w:bottom w:val="single" w:color="auto" w:sz="4" w:space="0"/>
              <w:right w:val="single" w:color="auto" w:sz="4" w:space="0"/>
            </w:tcBorders>
          </w:tcPr>
          <w:p w14:paraId="7FD2E104">
            <w:pPr>
              <w:widowControl/>
              <w:spacing w:line="360" w:lineRule="auto"/>
              <w:ind w:left="0" w:leftChars="0" w:right="0" w:rightChars="0" w:firstLine="0" w:firstLineChars="0"/>
              <w:jc w:val="left"/>
              <w:rPr>
                <w:rFonts w:hint="eastAsia" w:ascii="宋体" w:hAnsi="宋体" w:eastAsia="宋体" w:cs="宋体"/>
                <w:sz w:val="24"/>
                <w:szCs w:val="24"/>
              </w:rPr>
            </w:pPr>
          </w:p>
        </w:tc>
      </w:tr>
      <w:tr w14:paraId="3716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5EE103C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2779" w:type="pct"/>
            <w:tcBorders>
              <w:top w:val="single" w:color="auto" w:sz="4" w:space="0"/>
              <w:left w:val="single" w:color="auto" w:sz="4" w:space="0"/>
              <w:bottom w:val="single" w:color="auto" w:sz="4" w:space="0"/>
              <w:right w:val="single" w:color="auto" w:sz="4" w:space="0"/>
            </w:tcBorders>
          </w:tcPr>
          <w:p w14:paraId="161BB523">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包装、标识要求</w:t>
            </w:r>
          </w:p>
          <w:p w14:paraId="6B6490C3">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1）经确认配送的品牌和包装，内外包装应完整卫生，无受潮无破漏，真空包装无漏气/膨胀情况，内包装物应无破损，配送的货品形状完好无损。包装材料应符合相应的国家标准。容器(框箱、袋)要求清洁、干燥、牢固、透气无污染、无异味、无霉变现象。包装容器不得使用玻璃、金属等可能存在安全隐患的材质。</w:t>
            </w:r>
          </w:p>
          <w:p w14:paraId="2BD1539F">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2）所供食材必须符合国家行业生产及经营标准，食材包装标签应符合《食品安全国家标准预包装食品标签通则》(GB7718)要求，包括食材名称、配料表、净含量、规格、生产者(或)经销者的名称、地址和联系方式、生产日期和保质期、贮存条件、食品生产许可证编号、产品标准代号等内容，标签上附有产地、食品安全等溯源信息。</w:t>
            </w:r>
          </w:p>
        </w:tc>
        <w:tc>
          <w:tcPr>
            <w:tcW w:w="1631" w:type="pct"/>
            <w:tcBorders>
              <w:top w:val="single" w:color="auto" w:sz="4" w:space="0"/>
              <w:left w:val="single" w:color="auto" w:sz="4" w:space="0"/>
              <w:bottom w:val="single" w:color="auto" w:sz="4" w:space="0"/>
              <w:right w:val="single" w:color="auto" w:sz="4" w:space="0"/>
            </w:tcBorders>
          </w:tcPr>
          <w:p w14:paraId="12D2ABD3">
            <w:pPr>
              <w:widowControl/>
              <w:spacing w:line="360" w:lineRule="auto"/>
              <w:ind w:left="0" w:leftChars="0" w:right="0" w:rightChars="0" w:firstLine="0" w:firstLineChars="0"/>
              <w:jc w:val="left"/>
              <w:rPr>
                <w:rFonts w:hint="eastAsia" w:ascii="宋体" w:hAnsi="宋体" w:eastAsia="宋体" w:cs="宋体"/>
                <w:sz w:val="24"/>
                <w:szCs w:val="24"/>
              </w:rPr>
            </w:pPr>
          </w:p>
        </w:tc>
      </w:tr>
      <w:tr w14:paraId="6750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67428D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2779" w:type="pct"/>
            <w:tcBorders>
              <w:top w:val="single" w:color="auto" w:sz="4" w:space="0"/>
              <w:left w:val="single" w:color="auto" w:sz="4" w:space="0"/>
              <w:bottom w:val="single" w:color="auto" w:sz="4" w:space="0"/>
              <w:right w:val="single" w:color="auto" w:sz="4" w:space="0"/>
            </w:tcBorders>
          </w:tcPr>
          <w:p w14:paraId="33DD6C4F">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食材采购要求</w:t>
            </w:r>
          </w:p>
          <w:p w14:paraId="178D726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14:paraId="577E4B9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采购人要求采购；因运输装卸过程中造成的损耗(例如包装严重变形、破损、食品污染、变异等)，必须无条件及时更换。</w:t>
            </w:r>
          </w:p>
          <w:p w14:paraId="18A8BC91">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14:paraId="01E3EED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为推动脱贫地区农副产品的发展，按照采购人要求，部分食材需在“832平台”上进行采购，完成学校规定的年度采购任务，在该平台上采购的食材为不可竞争费用，最终结算以“832平台”上采购价格及实际采购数量据实结算。</w:t>
            </w:r>
          </w:p>
        </w:tc>
        <w:tc>
          <w:tcPr>
            <w:tcW w:w="1631" w:type="pct"/>
            <w:tcBorders>
              <w:top w:val="single" w:color="auto" w:sz="4" w:space="0"/>
              <w:left w:val="single" w:color="auto" w:sz="4" w:space="0"/>
              <w:bottom w:val="single" w:color="auto" w:sz="4" w:space="0"/>
              <w:right w:val="single" w:color="auto" w:sz="4" w:space="0"/>
            </w:tcBorders>
          </w:tcPr>
          <w:p w14:paraId="3402B7C6">
            <w:pPr>
              <w:widowControl/>
              <w:spacing w:line="360" w:lineRule="auto"/>
              <w:ind w:left="0" w:leftChars="0" w:right="0" w:rightChars="0" w:firstLine="0" w:firstLineChars="0"/>
              <w:jc w:val="left"/>
              <w:rPr>
                <w:rFonts w:hint="eastAsia" w:ascii="宋体" w:hAnsi="宋体" w:eastAsia="宋体" w:cs="宋体"/>
                <w:sz w:val="24"/>
                <w:szCs w:val="24"/>
              </w:rPr>
            </w:pPr>
          </w:p>
        </w:tc>
      </w:tr>
      <w:tr w14:paraId="6E3F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26F3D5A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c>
          <w:tcPr>
            <w:tcW w:w="2779" w:type="pct"/>
            <w:tcBorders>
              <w:top w:val="single" w:color="auto" w:sz="4" w:space="0"/>
              <w:left w:val="single" w:color="auto" w:sz="4" w:space="0"/>
              <w:bottom w:val="single" w:color="auto" w:sz="4" w:space="0"/>
              <w:right w:val="single" w:color="auto" w:sz="4" w:space="0"/>
            </w:tcBorders>
          </w:tcPr>
          <w:p w14:paraId="3F2A19E4">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食材配送要求</w:t>
            </w:r>
          </w:p>
          <w:p w14:paraId="2B1E4DB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供应商应按采购人计划和要求及时保质保量配送，保障学校食堂正常运行。供应商必须按采购文件的要求，配送新鲜的食材，保证食材的食品安全;凡配送的食材质量、数量与要求不符时，采购人有权拒收，并由供应商承担由此造成的直接经济损失。如遇特殊情况，供应商应在接到采购人食材清单三小时内运送到指定的地点。</w:t>
            </w:r>
          </w:p>
          <w:p w14:paraId="5750B88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（2）运输工具、配送人员、包装材料和运输途中的防护措施必须符合相关规定和要求。配送车辆和人员进入校园，必须遵守学校相关规定。</w:t>
            </w:r>
          </w:p>
          <w:p w14:paraId="0CAF2134">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针对此次保障项目，应在公司内部指定专门的人员负责，配备专用运输车进行配送保障(专车专用，如更换车辆需提前报备新车辆信息)，到达采购人指定地点时，由供应商负责卸货搬运。食品运输必须采用符合卫生标准的外包装和运载工具，并且要保持清洁和定期消毒。车厢内无不良气味、异味。整个运输过程应科学合理，运输车辆应定期清洁。食品堆放科学合理避免造成食品的交叉污染。</w:t>
            </w:r>
          </w:p>
          <w:p w14:paraId="44FDC08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（4）供应商具备组织配送、调运、包装、二次搬运的能力，配送的食材若出现任何问题，在采购人规定的时间内重新配送。</w:t>
            </w:r>
          </w:p>
          <w:p w14:paraId="42B38655">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（5）供应商必须按采购人所填订单配送，按规定时间送达，保障学校食堂正常运行。确保配送的食品优质、安全、可靠，确保运输安全，无条件更换运输过程中受到污染或变质的食品所需费用由供应商承担。</w:t>
            </w:r>
          </w:p>
          <w:p w14:paraId="5C7FAEC2">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（6）供应商在配送过程中要做好保鲜、保质措施，同时不得喷酒有毒有害物质进行保鲜或保质。否则一经查实，成交供应商将被取消供应资格，同时承担相应的责任。</w:t>
            </w:r>
          </w:p>
          <w:p w14:paraId="264CA06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（7）建立出入库台账。成交供应商对所供产品的食品安全负责。采购人将定期或不定期地对食材供应配送工作进行督查。对供应商提供不合格食材或不按要求配送，造成责任事故的将追究其法律责任。</w:t>
            </w:r>
          </w:p>
          <w:p w14:paraId="29002835">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（8）供应商在项目完成期间，严格明确安全责任，服从采购人的日常管理和检查，有健全的安全管理制度，保证工作人员安全。如因供应商原因导致发生任何安全事故或造成人员伤亡的，由供应商完全负责。</w:t>
            </w:r>
          </w:p>
        </w:tc>
        <w:tc>
          <w:tcPr>
            <w:tcW w:w="1631" w:type="pct"/>
            <w:tcBorders>
              <w:top w:val="single" w:color="auto" w:sz="4" w:space="0"/>
              <w:left w:val="single" w:color="auto" w:sz="4" w:space="0"/>
              <w:bottom w:val="single" w:color="auto" w:sz="4" w:space="0"/>
              <w:right w:val="single" w:color="auto" w:sz="4" w:space="0"/>
            </w:tcBorders>
          </w:tcPr>
          <w:p w14:paraId="7AAD87CB">
            <w:pPr>
              <w:widowControl/>
              <w:spacing w:line="360" w:lineRule="auto"/>
              <w:ind w:left="0" w:leftChars="0" w:right="0" w:rightChars="0" w:firstLine="0" w:firstLineChars="0"/>
              <w:jc w:val="left"/>
              <w:rPr>
                <w:rFonts w:hint="eastAsia" w:ascii="宋体" w:hAnsi="宋体" w:eastAsia="宋体" w:cs="宋体"/>
                <w:sz w:val="24"/>
                <w:szCs w:val="24"/>
              </w:rPr>
            </w:pPr>
          </w:p>
        </w:tc>
      </w:tr>
      <w:tr w14:paraId="7B0C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9" w:hRule="atLeast"/>
          <w:jc w:val="center"/>
        </w:trPr>
        <w:tc>
          <w:tcPr>
            <w:tcW w:w="589" w:type="pct"/>
            <w:tcBorders>
              <w:top w:val="single" w:color="auto" w:sz="4" w:space="0"/>
              <w:left w:val="single" w:color="auto" w:sz="4" w:space="0"/>
              <w:bottom w:val="single" w:color="auto" w:sz="4" w:space="0"/>
              <w:right w:val="single" w:color="auto" w:sz="4" w:space="0"/>
            </w:tcBorders>
          </w:tcPr>
          <w:p w14:paraId="14F3CC5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5</w:t>
            </w:r>
          </w:p>
        </w:tc>
        <w:tc>
          <w:tcPr>
            <w:tcW w:w="2779" w:type="pct"/>
            <w:tcBorders>
              <w:top w:val="single" w:color="auto" w:sz="4" w:space="0"/>
              <w:left w:val="single" w:color="auto" w:sz="4" w:space="0"/>
              <w:bottom w:val="single" w:color="auto" w:sz="4" w:space="0"/>
              <w:right w:val="single" w:color="auto" w:sz="4" w:space="0"/>
            </w:tcBorders>
          </w:tcPr>
          <w:p w14:paraId="38622EA5">
            <w:pPr>
              <w:pStyle w:val="4"/>
              <w:numPr>
                <w:ilvl w:val="0"/>
                <w:numId w:val="0"/>
              </w:num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运输要求 </w:t>
            </w:r>
          </w:p>
          <w:p w14:paraId="6025E96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（1）所提供的食材运输应由中标人负责，必须采用符合卫生标准的外包装和运载工具，并且要保持清洁和定期消毒。运输车厢的内仓应使用抗腐蚀、防潮、易清洁消毒的材料。车厢内无不良气味、异味。</w:t>
            </w:r>
          </w:p>
          <w:p w14:paraId="260DBA7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冷藏、冷冻食材必须用专用冷藏、冷冻载具运输，应当有必要的保温设备并在整个运输过程中保持安全的冷藏、冷冻温度。特别是对于长途运输的食材，保证食材在运输全过程处于合适的温度范围。整个运输过程应科学合理，运输车辆应定期清洁，保持性能稳定，符合规定的温度要求，使运输食材处于恒定的环境中。运输途中严防日晒、雨淋，注意通风散热；食材应小心轻卸，严防机械损伤。</w:t>
            </w:r>
          </w:p>
          <w:p w14:paraId="0DDB195C">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关于冷冻食材配送，目的地在一小时内的用保温车配送，一小时以外的用制冷车配送，保证冷冻食材中心温度控制在-2℃-7℃的范围之内，保证运输过程冷链不中断。食材到达目的地时外包装箱干爽，无软化现象。</w:t>
            </w:r>
          </w:p>
          <w:p w14:paraId="3977E23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卸货要求:送货车辆应保持清洁；食材堆放科学合理，避免造成食材的交叉污染；如对温度有要求的食材应确定食材的温度，记录送货车辆温度，并存档。在卸货过程中应保证冷藏食材脱离冷链时间不得超过20分钟，冷冻食材脱离冷链时间不得超过30分钟。</w:t>
            </w:r>
          </w:p>
        </w:tc>
        <w:tc>
          <w:tcPr>
            <w:tcW w:w="1631" w:type="pct"/>
            <w:tcBorders>
              <w:top w:val="single" w:color="auto" w:sz="4" w:space="0"/>
              <w:left w:val="single" w:color="auto" w:sz="4" w:space="0"/>
              <w:bottom w:val="single" w:color="auto" w:sz="4" w:space="0"/>
              <w:right w:val="single" w:color="auto" w:sz="4" w:space="0"/>
            </w:tcBorders>
          </w:tcPr>
          <w:p w14:paraId="4C83E59A">
            <w:pPr>
              <w:widowControl/>
              <w:spacing w:line="360" w:lineRule="auto"/>
              <w:ind w:left="0" w:leftChars="0" w:right="0" w:rightChars="0" w:firstLine="0" w:firstLineChars="0"/>
              <w:jc w:val="left"/>
              <w:rPr>
                <w:rFonts w:hint="eastAsia" w:ascii="宋体" w:hAnsi="宋体" w:eastAsia="宋体" w:cs="宋体"/>
                <w:sz w:val="24"/>
                <w:szCs w:val="24"/>
              </w:rPr>
            </w:pPr>
          </w:p>
        </w:tc>
      </w:tr>
      <w:tr w14:paraId="50F5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19E663A0">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2779" w:type="pct"/>
            <w:tcBorders>
              <w:top w:val="single" w:color="auto" w:sz="4" w:space="0"/>
              <w:left w:val="single" w:color="auto" w:sz="4" w:space="0"/>
              <w:bottom w:val="single" w:color="auto" w:sz="4" w:space="0"/>
              <w:right w:val="single" w:color="auto" w:sz="4" w:space="0"/>
            </w:tcBorders>
          </w:tcPr>
          <w:p w14:paraId="41E318A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食品安全管理要求</w:t>
            </w:r>
          </w:p>
          <w:p w14:paraId="5611D7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w:t>
            </w:r>
          </w:p>
          <w:p w14:paraId="7E37AC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tc>
        <w:tc>
          <w:tcPr>
            <w:tcW w:w="1631" w:type="pct"/>
            <w:tcBorders>
              <w:top w:val="single" w:color="auto" w:sz="4" w:space="0"/>
              <w:left w:val="single" w:color="auto" w:sz="4" w:space="0"/>
              <w:bottom w:val="single" w:color="auto" w:sz="4" w:space="0"/>
              <w:right w:val="single" w:color="auto" w:sz="4" w:space="0"/>
            </w:tcBorders>
          </w:tcPr>
          <w:p w14:paraId="375848FE">
            <w:pPr>
              <w:widowControl/>
              <w:spacing w:line="360" w:lineRule="auto"/>
              <w:ind w:left="0" w:leftChars="0" w:right="0" w:rightChars="0" w:firstLine="0" w:firstLineChars="0"/>
              <w:jc w:val="left"/>
              <w:rPr>
                <w:rFonts w:hint="eastAsia" w:ascii="宋体" w:hAnsi="宋体" w:eastAsia="宋体" w:cs="宋体"/>
                <w:sz w:val="24"/>
                <w:szCs w:val="24"/>
              </w:rPr>
            </w:pPr>
          </w:p>
        </w:tc>
      </w:tr>
      <w:tr w14:paraId="0764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2748ED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7</w:t>
            </w:r>
          </w:p>
        </w:tc>
        <w:tc>
          <w:tcPr>
            <w:tcW w:w="2779" w:type="pct"/>
            <w:tcBorders>
              <w:top w:val="single" w:color="auto" w:sz="4" w:space="0"/>
              <w:left w:val="single" w:color="auto" w:sz="4" w:space="0"/>
              <w:bottom w:val="single" w:color="auto" w:sz="4" w:space="0"/>
              <w:right w:val="single" w:color="auto" w:sz="4" w:space="0"/>
            </w:tcBorders>
          </w:tcPr>
          <w:p w14:paraId="744D1E1A">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食材采购溯源要求</w:t>
            </w:r>
          </w:p>
          <w:p w14:paraId="67EE15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（1）需记录食材名称、规格、数量、生产日期/批号、保质期、食材的产地（如种植基地、养殖场所）、采收/屠宰时间、采购日期、运输方式、运输过程中的温度等关键条件（针对冷链食材）、入库验收记录等。</w:t>
            </w:r>
          </w:p>
          <w:p w14:paraId="4A49A4E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（2）建立食材采购信息档案，确保食材从生产、加工、运输到销售的全流程信息可追溯。</w:t>
            </w:r>
          </w:p>
          <w:p w14:paraId="39F9CF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（3）相关信息应准确、完整，并便于查询，消费者和监管部门可通过扫码等方式获取溯源数据。</w:t>
            </w:r>
          </w:p>
          <w:p w14:paraId="67B54F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（4）供应商对溯源信息的真实性和完整性负责，若食材出现任何问题，由供应商承担全部责任。</w:t>
            </w:r>
          </w:p>
        </w:tc>
        <w:tc>
          <w:tcPr>
            <w:tcW w:w="1631" w:type="pct"/>
            <w:tcBorders>
              <w:top w:val="single" w:color="auto" w:sz="4" w:space="0"/>
              <w:left w:val="single" w:color="auto" w:sz="4" w:space="0"/>
              <w:bottom w:val="single" w:color="auto" w:sz="4" w:space="0"/>
              <w:right w:val="single" w:color="auto" w:sz="4" w:space="0"/>
            </w:tcBorders>
          </w:tcPr>
          <w:p w14:paraId="039BB467">
            <w:pPr>
              <w:widowControl/>
              <w:spacing w:line="360" w:lineRule="auto"/>
              <w:ind w:left="0" w:leftChars="0" w:right="0" w:rightChars="0" w:firstLine="0" w:firstLineChars="0"/>
              <w:jc w:val="left"/>
              <w:rPr>
                <w:rFonts w:hint="eastAsia" w:ascii="宋体" w:hAnsi="宋体" w:eastAsia="宋体" w:cs="宋体"/>
                <w:sz w:val="24"/>
                <w:szCs w:val="24"/>
              </w:rPr>
            </w:pPr>
          </w:p>
        </w:tc>
      </w:tr>
      <w:tr w14:paraId="2BE52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4E9276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8</w:t>
            </w:r>
          </w:p>
        </w:tc>
        <w:tc>
          <w:tcPr>
            <w:tcW w:w="2779" w:type="pct"/>
            <w:tcBorders>
              <w:top w:val="single" w:color="auto" w:sz="4" w:space="0"/>
              <w:left w:val="single" w:color="auto" w:sz="4" w:space="0"/>
              <w:bottom w:val="single" w:color="auto" w:sz="4" w:space="0"/>
              <w:right w:val="single" w:color="auto" w:sz="4" w:space="0"/>
            </w:tcBorders>
          </w:tcPr>
          <w:p w14:paraId="0B8A61DC">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供应商履约约束与违约责任</w:t>
            </w:r>
          </w:p>
          <w:p w14:paraId="749F60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14:paraId="350AF6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14:paraId="06EC3E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（3）供应商在项目实施期间，严格明确安全责任，服从采购人的日常管理和检查，有健全的安全管理制度，保证工作人员安全。如因供应商原因导致发生任何安全事故或造成人员伤亡的，由供应商完全负责。</w:t>
            </w:r>
          </w:p>
          <w:p w14:paraId="62B442D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（4）单次供货食材抽检不合格，该批次全部退回，供应商 24 小时内免费补货；同一学年累计 2 次及以上抽检不合格，采购人有权解除合同。</w:t>
            </w:r>
          </w:p>
          <w:p w14:paraId="3E3D7F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（5）因供应商食材问题引发师生食物中毒、群体性食源性疾病等食品安全事故，供应商承担全部医疗费、赔偿金、行政处罚费用，采购人立即终止合同并追究法律责任。</w:t>
            </w:r>
          </w:p>
          <w:p w14:paraId="4BAE07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（6）供应商不得转包、分包本项目配送业务，未经采购人书面许可擅自分包的，视为严重违约，采购人直接解除合同。</w:t>
            </w:r>
          </w:p>
          <w:p w14:paraId="3A1BD7B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（7）供应商具有食材本地化配送及售后保障能力。</w:t>
            </w:r>
          </w:p>
        </w:tc>
        <w:tc>
          <w:tcPr>
            <w:tcW w:w="1631" w:type="pct"/>
            <w:tcBorders>
              <w:top w:val="single" w:color="auto" w:sz="4" w:space="0"/>
              <w:left w:val="single" w:color="auto" w:sz="4" w:space="0"/>
              <w:bottom w:val="single" w:color="auto" w:sz="4" w:space="0"/>
              <w:right w:val="single" w:color="auto" w:sz="4" w:space="0"/>
            </w:tcBorders>
          </w:tcPr>
          <w:p w14:paraId="476E33A1">
            <w:pPr>
              <w:widowControl/>
              <w:spacing w:line="360" w:lineRule="auto"/>
              <w:ind w:left="0" w:leftChars="0" w:right="0" w:rightChars="0" w:firstLine="0" w:firstLineChars="0"/>
              <w:jc w:val="left"/>
              <w:rPr>
                <w:rFonts w:hint="eastAsia" w:ascii="宋体" w:hAnsi="宋体" w:eastAsia="宋体" w:cs="宋体"/>
                <w:sz w:val="24"/>
                <w:szCs w:val="24"/>
              </w:rPr>
            </w:pPr>
          </w:p>
        </w:tc>
      </w:tr>
      <w:tr w14:paraId="258D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42BFD36B">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9</w:t>
            </w:r>
          </w:p>
        </w:tc>
        <w:tc>
          <w:tcPr>
            <w:tcW w:w="2779" w:type="pct"/>
            <w:tcBorders>
              <w:top w:val="single" w:color="auto" w:sz="4" w:space="0"/>
              <w:left w:val="single" w:color="auto" w:sz="4" w:space="0"/>
              <w:bottom w:val="single" w:color="auto" w:sz="4" w:space="0"/>
              <w:right w:val="single" w:color="auto" w:sz="4" w:space="0"/>
            </w:tcBorders>
          </w:tcPr>
          <w:p w14:paraId="770B32AC">
            <w:pPr>
              <w:pStyle w:val="4"/>
              <w:numPr>
                <w:ilvl w:val="0"/>
                <w:numId w:val="0"/>
              </w:numPr>
              <w:spacing w:line="360" w:lineRule="auto"/>
              <w:ind w:left="0" w:leftChars="0" w:firstLine="482" w:firstLineChars="200"/>
              <w:rPr>
                <w:rFonts w:hint="eastAsia" w:ascii="宋体" w:hAnsi="宋体" w:cs="宋体"/>
                <w:b/>
                <w:bCs/>
                <w:sz w:val="24"/>
                <w:szCs w:val="24"/>
                <w:lang w:val="en-US" w:eastAsia="zh-CN"/>
              </w:rPr>
            </w:pPr>
            <w:r>
              <w:rPr>
                <w:rFonts w:hint="eastAsia" w:ascii="宋体" w:hAnsi="宋体" w:cs="宋体"/>
                <w:b/>
                <w:bCs/>
                <w:sz w:val="24"/>
                <w:szCs w:val="24"/>
                <w:lang w:val="en-US" w:eastAsia="zh-CN"/>
              </w:rPr>
              <w:t>结算方式：据实结算</w:t>
            </w:r>
          </w:p>
          <w:p w14:paraId="466A1A5F">
            <w:pPr>
              <w:pStyle w:val="4"/>
              <w:numPr>
                <w:ilvl w:val="0"/>
                <w:numId w:val="0"/>
              </w:numPr>
              <w:spacing w:line="360" w:lineRule="auto"/>
              <w:ind w:left="0" w:leftChars="0" w:firstLine="480" w:firstLineChars="200"/>
              <w:rPr>
                <w:rFonts w:hint="eastAsia" w:ascii="宋体" w:hAnsi="宋体" w:eastAsia="宋体" w:cs="宋体"/>
                <w:sz w:val="24"/>
                <w:szCs w:val="24"/>
              </w:rPr>
            </w:pPr>
            <w:r>
              <w:rPr>
                <w:rFonts w:hint="eastAsia" w:ascii="宋体" w:hAnsi="宋体" w:eastAsia="宋体" w:cs="宋体"/>
                <w:sz w:val="24"/>
                <w:szCs w:val="24"/>
              </w:rPr>
              <w:t>鲜肉（猪、牛、羊肉）、鸡蛋：以陕西省发展和改革委员会当月发布的《陕西省主要副食品价格监测数据》（https://sndrc.shaanxi.gov.cn/sy/xwxx/wndt/）对应产品的价格作为对应采购产品的基准价；若同期无对应同类产品数据的，以渭南市发展和改革委员会当月发布的《渭南市价格监测数据》（https://fgw.weinan.gov.cn/fgyw/gzdt/1.html）对应产品的价格作为对应采购产品的基准价；若均无对应同类产品数据的，根据供应商提供的供货清单，每半个月（月初和月中）进行一次市场价格调查，由学校和供应商代表组成询价小组在渭南市内大型超市进行价格询价，月初和月中询价结果的平均值作为近半个月以内的结算基准价。据实结算=结算基准价*（1-中标下浮率）</w:t>
            </w:r>
          </w:p>
        </w:tc>
        <w:tc>
          <w:tcPr>
            <w:tcW w:w="1631" w:type="pct"/>
            <w:tcBorders>
              <w:top w:val="single" w:color="auto" w:sz="4" w:space="0"/>
              <w:left w:val="single" w:color="auto" w:sz="4" w:space="0"/>
              <w:bottom w:val="single" w:color="auto" w:sz="4" w:space="0"/>
              <w:right w:val="single" w:color="auto" w:sz="4" w:space="0"/>
            </w:tcBorders>
          </w:tcPr>
          <w:p w14:paraId="06C600C6">
            <w:pPr>
              <w:widowControl/>
              <w:spacing w:line="360" w:lineRule="auto"/>
              <w:ind w:left="0" w:leftChars="0" w:right="0" w:rightChars="0" w:firstLine="0" w:firstLineChars="0"/>
              <w:jc w:val="left"/>
              <w:rPr>
                <w:rFonts w:hint="eastAsia" w:ascii="宋体" w:hAnsi="宋体" w:eastAsia="宋体" w:cs="宋体"/>
                <w:sz w:val="24"/>
                <w:szCs w:val="24"/>
              </w:rPr>
            </w:pPr>
          </w:p>
        </w:tc>
      </w:tr>
      <w:tr w14:paraId="3E8C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DE008FB">
            <w:pPr>
              <w:widowControl/>
              <w:spacing w:line="360" w:lineRule="auto"/>
              <w:ind w:left="0" w:leftChars="0" w:right="0" w:rightChars="0" w:firstLine="0" w:firstLineChars="0"/>
              <w:jc w:val="center"/>
              <w:rPr>
                <w:rFonts w:hint="eastAsia" w:ascii="宋体" w:hAnsi="宋体" w:cs="宋体"/>
                <w:sz w:val="24"/>
                <w:szCs w:val="24"/>
                <w:lang w:val="en-US" w:eastAsia="zh-CN"/>
              </w:rPr>
            </w:pPr>
            <w:r>
              <w:rPr>
                <w:rFonts w:hint="eastAsia" w:ascii="宋体" w:hAnsi="宋体" w:cs="宋体"/>
                <w:sz w:val="24"/>
                <w:szCs w:val="24"/>
                <w:lang w:val="en-US" w:eastAsia="zh-CN"/>
              </w:rPr>
              <w:t>……</w:t>
            </w:r>
          </w:p>
        </w:tc>
        <w:tc>
          <w:tcPr>
            <w:tcW w:w="2779" w:type="pct"/>
            <w:tcBorders>
              <w:top w:val="single" w:color="auto" w:sz="4" w:space="0"/>
              <w:left w:val="single" w:color="auto" w:sz="4" w:space="0"/>
              <w:bottom w:val="single" w:color="auto" w:sz="4" w:space="0"/>
              <w:right w:val="single" w:color="auto" w:sz="4" w:space="0"/>
            </w:tcBorders>
          </w:tcPr>
          <w:p w14:paraId="03AE2556">
            <w:pPr>
              <w:pStyle w:val="4"/>
              <w:numPr>
                <w:ilvl w:val="0"/>
                <w:numId w:val="0"/>
              </w:numPr>
              <w:spacing w:line="360" w:lineRule="auto"/>
              <w:ind w:left="0" w:leftChars="0" w:firstLine="480" w:firstLineChars="200"/>
              <w:rPr>
                <w:rFonts w:hint="eastAsia" w:ascii="宋体" w:hAnsi="宋体" w:eastAsia="宋体" w:cs="宋体"/>
                <w:b w:val="0"/>
                <w:bCs w:val="0"/>
                <w:color w:val="auto"/>
                <w:sz w:val="24"/>
                <w:szCs w:val="24"/>
                <w:lang w:val="en-US" w:eastAsia="zh-CN"/>
              </w:rPr>
            </w:pPr>
            <w:bookmarkStart w:id="0" w:name="_GoBack"/>
            <w:bookmarkEnd w:id="0"/>
          </w:p>
        </w:tc>
        <w:tc>
          <w:tcPr>
            <w:tcW w:w="1631" w:type="pct"/>
            <w:tcBorders>
              <w:top w:val="single" w:color="auto" w:sz="4" w:space="0"/>
              <w:left w:val="single" w:color="auto" w:sz="4" w:space="0"/>
              <w:bottom w:val="single" w:color="auto" w:sz="4" w:space="0"/>
              <w:right w:val="single" w:color="auto" w:sz="4" w:space="0"/>
            </w:tcBorders>
          </w:tcPr>
          <w:p w14:paraId="26071013">
            <w:pPr>
              <w:widowControl/>
              <w:spacing w:line="360" w:lineRule="auto"/>
              <w:ind w:left="0" w:leftChars="0" w:right="0" w:rightChars="0" w:firstLine="0" w:firstLineChars="0"/>
              <w:jc w:val="left"/>
              <w:rPr>
                <w:rFonts w:hint="eastAsia" w:ascii="宋体" w:hAnsi="宋体" w:eastAsia="宋体" w:cs="宋体"/>
                <w:sz w:val="24"/>
                <w:szCs w:val="24"/>
              </w:rPr>
            </w:pPr>
          </w:p>
        </w:tc>
      </w:tr>
    </w:tbl>
    <w:p w14:paraId="33F72F20">
      <w:pPr>
        <w:widowControl/>
        <w:spacing w:line="360" w:lineRule="auto"/>
        <w:ind w:firstLine="560" w:firstLineChars="200"/>
        <w:jc w:val="left"/>
        <w:rPr>
          <w:rFonts w:ascii="宋体" w:hAnsi="宋体" w:cs="宋体"/>
          <w:sz w:val="28"/>
          <w:szCs w:val="28"/>
        </w:rPr>
      </w:pPr>
      <w:r>
        <w:rPr>
          <w:rFonts w:hint="eastAsia" w:ascii="宋体" w:hAnsi="宋体" w:cs="宋体"/>
          <w:sz w:val="28"/>
          <w:szCs w:val="28"/>
        </w:rPr>
        <w:t>注：1以上表格格式行、列可增</w:t>
      </w:r>
      <w:r>
        <w:rPr>
          <w:rFonts w:hint="eastAsia" w:ascii="宋体" w:hAnsi="宋体" w:cs="宋体"/>
          <w:sz w:val="28"/>
          <w:szCs w:val="28"/>
          <w:lang w:val="en-US" w:eastAsia="zh-CN"/>
        </w:rPr>
        <w:t>加，但不得减少</w:t>
      </w:r>
      <w:r>
        <w:rPr>
          <w:rFonts w:hint="eastAsia" w:ascii="宋体" w:hAnsi="宋体" w:cs="宋体"/>
          <w:sz w:val="28"/>
          <w:szCs w:val="28"/>
        </w:rPr>
        <w:t>。</w:t>
      </w:r>
    </w:p>
    <w:p w14:paraId="6B8476A0">
      <w:pPr>
        <w:rPr>
          <w:rFonts w:ascii="宋体" w:hAnsi="宋体" w:cs="宋体"/>
          <w:b/>
          <w:bCs/>
          <w:sz w:val="28"/>
          <w:szCs w:val="28"/>
        </w:rPr>
      </w:pPr>
    </w:p>
    <w:p w14:paraId="12AFE66E">
      <w:pPr>
        <w:spacing w:line="500" w:lineRule="exact"/>
        <w:ind w:firstLine="4320" w:firstLineChars="1800"/>
        <w:rPr>
          <w:rFonts w:hint="eastAsia" w:ascii="宋体" w:hAnsi="宋体" w:cs="宋体"/>
          <w:sz w:val="24"/>
        </w:rPr>
      </w:pPr>
      <w:r>
        <w:rPr>
          <w:rFonts w:hint="eastAsia" w:ascii="宋体" w:hAnsi="宋体" w:cs="宋体"/>
          <w:sz w:val="24"/>
        </w:rPr>
        <w:t>投标人（</w:t>
      </w:r>
      <w:r>
        <w:rPr>
          <w:rFonts w:hint="eastAsia" w:ascii="宋体" w:hAnsi="宋体" w:cs="宋体"/>
          <w:sz w:val="24"/>
          <w:lang w:val="en-US" w:eastAsia="zh-CN"/>
        </w:rPr>
        <w:t>签</w:t>
      </w:r>
      <w:r>
        <w:rPr>
          <w:rFonts w:hint="eastAsia" w:ascii="宋体" w:hAnsi="宋体" w:cs="宋体"/>
          <w:sz w:val="24"/>
        </w:rPr>
        <w:t>章）：</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p>
    <w:p w14:paraId="4A968D39">
      <w:pPr>
        <w:ind w:firstLine="1920" w:firstLineChars="800"/>
        <w:rPr>
          <w:rFonts w:hint="eastAsia" w:ascii="宋体" w:hAnsi="宋体" w:eastAsia="宋体" w:cs="宋体"/>
          <w:sz w:val="24"/>
          <w:lang w:val="en-US" w:eastAsia="zh-CN"/>
        </w:rPr>
      </w:pPr>
      <w:r>
        <w:rPr>
          <w:rFonts w:hint="eastAsia" w:ascii="宋体" w:hAnsi="宋体" w:cs="宋体"/>
          <w:sz w:val="24"/>
          <w:lang w:val="en-US" w:eastAsia="zh-CN"/>
        </w:rPr>
        <w:t xml:space="preserve"> </w:t>
      </w:r>
    </w:p>
    <w:p w14:paraId="75EB501D">
      <w:pPr>
        <w:ind w:firstLine="5280" w:firstLineChars="2200"/>
      </w:pPr>
      <w:r>
        <w:rPr>
          <w:rFonts w:hint="eastAsia" w:ascii="宋体" w:hAnsi="宋体" w:cs="宋体"/>
          <w:sz w:val="24"/>
        </w:rPr>
        <w:t>年   月   日</w:t>
      </w:r>
    </w:p>
    <w:p w14:paraId="4EC545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EE2D60"/>
    <w:rsid w:val="00006953"/>
    <w:rsid w:val="000E2E1D"/>
    <w:rsid w:val="00221E9F"/>
    <w:rsid w:val="00384BF6"/>
    <w:rsid w:val="00394815"/>
    <w:rsid w:val="003B4566"/>
    <w:rsid w:val="00406B18"/>
    <w:rsid w:val="00684B6B"/>
    <w:rsid w:val="006C704D"/>
    <w:rsid w:val="00913528"/>
    <w:rsid w:val="00935EBD"/>
    <w:rsid w:val="009A35D2"/>
    <w:rsid w:val="00E7628C"/>
    <w:rsid w:val="00EF3E4A"/>
    <w:rsid w:val="00F918A5"/>
    <w:rsid w:val="00FA2053"/>
    <w:rsid w:val="13165847"/>
    <w:rsid w:val="1FFAA9F5"/>
    <w:rsid w:val="268912C6"/>
    <w:rsid w:val="357B2CD2"/>
    <w:rsid w:val="395A0218"/>
    <w:rsid w:val="6CEE2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0"/>
    <w:pPr>
      <w:jc w:val="left"/>
    </w:pPr>
  </w:style>
  <w:style w:type="paragraph" w:styleId="4">
    <w:name w:val="Body Text"/>
    <w:basedOn w:val="1"/>
    <w:qFormat/>
    <w:uiPriority w:val="0"/>
    <w:pPr>
      <w:spacing w:after="120"/>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oc 2"/>
    <w:basedOn w:val="1"/>
    <w:next w:val="1"/>
    <w:qFormat/>
    <w:uiPriority w:val="0"/>
    <w:pPr>
      <w:ind w:left="240"/>
    </w:pPr>
    <w:rPr>
      <w:smallCaps/>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unhideWhenUsed/>
    <w:qFormat/>
    <w:uiPriority w:val="99"/>
    <w:rPr>
      <w:sz w:val="21"/>
      <w:szCs w:val="21"/>
    </w:rPr>
  </w:style>
  <w:style w:type="character" w:customStyle="1" w:styleId="12">
    <w:name w:val="批注文字 字符"/>
    <w:basedOn w:val="10"/>
    <w:link w:val="3"/>
    <w:qFormat/>
    <w:uiPriority w:val="0"/>
    <w:rPr>
      <w:rFonts w:ascii="Calibri" w:hAnsi="Calibri" w:eastAsia="宋体" w:cs="Times New Roman"/>
      <w:kern w:val="2"/>
      <w:sz w:val="21"/>
      <w:szCs w:val="22"/>
    </w:rPr>
  </w:style>
  <w:style w:type="character" w:customStyle="1" w:styleId="13">
    <w:name w:val="页眉 字符"/>
    <w:basedOn w:val="10"/>
    <w:link w:val="6"/>
    <w:qFormat/>
    <w:uiPriority w:val="0"/>
    <w:rPr>
      <w:rFonts w:ascii="Calibri" w:hAnsi="Calibri" w:eastAsia="宋体" w:cs="Times New Roman"/>
      <w:kern w:val="2"/>
      <w:sz w:val="18"/>
      <w:szCs w:val="18"/>
    </w:rPr>
  </w:style>
  <w:style w:type="character" w:customStyle="1" w:styleId="14">
    <w:name w:val="页脚 字符"/>
    <w:basedOn w:val="10"/>
    <w:link w:val="5"/>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3473</Words>
  <Characters>3493</Characters>
  <Lines>1</Lines>
  <Paragraphs>1</Paragraphs>
  <TotalTime>0</TotalTime>
  <ScaleCrop>false</ScaleCrop>
  <LinksUpToDate>false</LinksUpToDate>
  <CharactersWithSpaces>3534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2022-03-16T19:13:00Z</dcterms:created>
  <dc:creator>陕西省政府采购综合管理平台</dc:creator>
  <cp:lastModifiedBy>WPS_1730446345</cp:lastModifiedBy>
  <dcterms:modified xsi:type="dcterms:W3CDTF">2026-07-30T04:02:55Z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eyJoZGlkIjoiNzRmYTc3NGRiZGYyYzEyMDJmNGQwMjAyYmI3NjZiYWUiLCJ1c2VySWQiOiIxNjUwNzU2NTAyIn0=</vt:lpwstr>
  </property>
  <property fmtid="{D5CDD505-2E9C-101B-9397-08002B2CF9AE}" pid="4" name="ICV">
    <vt:lpwstr>B5B380B5F3154A128CB77235ED7AC905_12</vt:lpwstr>
  </property>
</Properties>
</file>