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F26E">
      <w:pPr>
        <w:keepNext/>
        <w:keepLines/>
        <w:spacing w:line="360" w:lineRule="auto"/>
        <w:jc w:val="center"/>
        <w:outlineLvl w:val="2"/>
        <w:rPr>
          <w:rFonts w:ascii="宋体" w:hAnsi="宋体" w:cs="宋体"/>
          <w:b/>
          <w:bCs/>
          <w:sz w:val="28"/>
          <w:szCs w:val="28"/>
        </w:rPr>
      </w:pPr>
      <w:r>
        <w:rPr>
          <w:rFonts w:hint="eastAsia" w:ascii="宋体" w:hAnsi="宋体" w:cs="宋体"/>
          <w:b/>
          <w:bCs/>
          <w:sz w:val="28"/>
          <w:szCs w:val="28"/>
        </w:rPr>
        <w:t>服务内容及服务要求应答表</w:t>
      </w:r>
    </w:p>
    <w:p w14:paraId="3C2D23A1">
      <w:pPr>
        <w:spacing w:line="360" w:lineRule="auto"/>
        <w:ind w:left="1532" w:hanging="1532" w:hangingChars="545"/>
        <w:rPr>
          <w:b/>
          <w:bCs/>
          <w:sz w:val="28"/>
          <w:szCs w:val="28"/>
        </w:rPr>
      </w:pPr>
      <w:r>
        <w:rPr>
          <w:rFonts w:hint="eastAsia"/>
          <w:b/>
          <w:bCs/>
          <w:sz w:val="28"/>
          <w:szCs w:val="28"/>
        </w:rPr>
        <w:t>采购项目名称：</w:t>
      </w:r>
      <w:r>
        <w:rPr>
          <w:sz w:val="28"/>
          <w:szCs w:val="28"/>
        </w:rPr>
        <w:t>{</w:t>
      </w:r>
      <w:r>
        <w:rPr>
          <w:rFonts w:hint="eastAsia"/>
          <w:sz w:val="28"/>
          <w:szCs w:val="28"/>
          <w:lang w:eastAsia="zh-Hans"/>
        </w:rPr>
        <w:t>请填写采购项目名称</w:t>
      </w:r>
      <w:r>
        <w:rPr>
          <w:sz w:val="28"/>
          <w:szCs w:val="28"/>
        </w:rPr>
        <w:t>}</w:t>
      </w:r>
    </w:p>
    <w:p w14:paraId="2ABC9DC6">
      <w:pPr>
        <w:spacing w:line="360" w:lineRule="auto"/>
        <w:rPr>
          <w:sz w:val="28"/>
          <w:szCs w:val="28"/>
        </w:rPr>
      </w:pPr>
      <w:r>
        <w:rPr>
          <w:rFonts w:hint="eastAsia"/>
          <w:b/>
          <w:bCs/>
          <w:sz w:val="28"/>
          <w:szCs w:val="28"/>
        </w:rPr>
        <w:t>采购项目编号：</w:t>
      </w:r>
      <w:r>
        <w:rPr>
          <w:sz w:val="28"/>
          <w:szCs w:val="28"/>
        </w:rPr>
        <w:t>{</w:t>
      </w:r>
      <w:r>
        <w:rPr>
          <w:rFonts w:hint="eastAsia"/>
          <w:sz w:val="28"/>
          <w:szCs w:val="28"/>
          <w:lang w:eastAsia="zh-Hans"/>
        </w:rPr>
        <w:t>请填写采购项目编号</w:t>
      </w:r>
      <w:r>
        <w:rPr>
          <w:sz w:val="28"/>
          <w:szCs w:val="28"/>
        </w:rPr>
        <w:t>}</w:t>
      </w:r>
    </w:p>
    <w:tbl>
      <w:tblPr>
        <w:tblStyle w:val="8"/>
        <w:tblW w:w="52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4954"/>
        <w:gridCol w:w="2907"/>
      </w:tblGrid>
      <w:tr w14:paraId="0B1B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vAlign w:val="center"/>
          </w:tcPr>
          <w:p w14:paraId="36C8D65D">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779" w:type="pct"/>
            <w:tcBorders>
              <w:top w:val="single" w:color="auto" w:sz="4" w:space="0"/>
              <w:left w:val="single" w:color="auto" w:sz="4" w:space="0"/>
              <w:bottom w:val="single" w:color="auto" w:sz="4" w:space="0"/>
              <w:right w:val="single" w:color="auto" w:sz="4" w:space="0"/>
            </w:tcBorders>
            <w:vAlign w:val="center"/>
          </w:tcPr>
          <w:p w14:paraId="51D48D51">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招标</w:t>
            </w:r>
            <w:r>
              <w:rPr>
                <w:rFonts w:hint="eastAsia" w:ascii="宋体" w:hAnsi="宋体" w:eastAsia="宋体" w:cs="宋体"/>
                <w:b/>
                <w:bCs/>
                <w:sz w:val="24"/>
                <w:szCs w:val="24"/>
              </w:rPr>
              <w:t>文件要求</w:t>
            </w:r>
          </w:p>
        </w:tc>
        <w:tc>
          <w:tcPr>
            <w:tcW w:w="1631" w:type="pct"/>
            <w:tcBorders>
              <w:top w:val="single" w:color="auto" w:sz="4" w:space="0"/>
              <w:left w:val="single" w:color="auto" w:sz="4" w:space="0"/>
              <w:bottom w:val="single" w:color="auto" w:sz="4" w:space="0"/>
              <w:right w:val="single" w:color="auto" w:sz="4" w:space="0"/>
            </w:tcBorders>
            <w:vAlign w:val="center"/>
          </w:tcPr>
          <w:p w14:paraId="59AC3475">
            <w:pPr>
              <w:widowControl/>
              <w:spacing w:line="360" w:lineRule="auto"/>
              <w:ind w:left="0" w:leftChars="0" w:right="0" w:rightChars="0"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投标</w:t>
            </w:r>
            <w:r>
              <w:rPr>
                <w:rFonts w:hint="eastAsia" w:ascii="宋体" w:hAnsi="宋体" w:eastAsia="宋体" w:cs="宋体"/>
                <w:b/>
                <w:bCs/>
                <w:sz w:val="24"/>
                <w:szCs w:val="24"/>
              </w:rPr>
              <w:t>文件</w:t>
            </w:r>
            <w:r>
              <w:rPr>
                <w:rFonts w:hint="eastAsia" w:ascii="宋体" w:hAnsi="宋体" w:eastAsia="宋体" w:cs="宋体"/>
                <w:b/>
                <w:bCs/>
                <w:sz w:val="24"/>
                <w:szCs w:val="24"/>
                <w:lang w:val="en-US" w:eastAsia="zh-CN"/>
              </w:rPr>
              <w:t>响应</w:t>
            </w:r>
          </w:p>
          <w:p w14:paraId="623E4CF7">
            <w:pPr>
              <w:widowControl/>
              <w:spacing w:line="360" w:lineRule="auto"/>
              <w:ind w:left="0" w:leftChars="0" w:right="0" w:rightChars="0" w:firstLine="0" w:firstLineChars="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响应/不响应</w:t>
            </w:r>
            <w:r>
              <w:rPr>
                <w:rFonts w:hint="eastAsia" w:ascii="宋体" w:hAnsi="宋体" w:eastAsia="宋体" w:cs="宋体"/>
                <w:b/>
                <w:bCs/>
                <w:sz w:val="24"/>
                <w:szCs w:val="24"/>
                <w:lang w:eastAsia="zh-CN"/>
              </w:rPr>
              <w:t>）</w:t>
            </w:r>
          </w:p>
        </w:tc>
      </w:tr>
      <w:tr w14:paraId="580F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3CD0B12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779" w:type="pct"/>
            <w:tcBorders>
              <w:top w:val="single" w:color="auto" w:sz="4" w:space="0"/>
              <w:left w:val="single" w:color="auto" w:sz="4" w:space="0"/>
              <w:bottom w:val="single" w:color="auto" w:sz="4" w:space="0"/>
              <w:right w:val="single" w:color="auto" w:sz="4" w:space="0"/>
            </w:tcBorders>
          </w:tcPr>
          <w:p w14:paraId="4D81A003">
            <w:pPr>
              <w:widowControl/>
              <w:spacing w:line="36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为规范和促进本项目的正常实施和推进，供应商须针对本项目安排专业配送服务团队、购买食品安全责任保险、具备相关履约经验。</w:t>
            </w:r>
          </w:p>
        </w:tc>
        <w:tc>
          <w:tcPr>
            <w:tcW w:w="1631" w:type="pct"/>
            <w:tcBorders>
              <w:top w:val="single" w:color="auto" w:sz="4" w:space="0"/>
              <w:left w:val="single" w:color="auto" w:sz="4" w:space="0"/>
              <w:bottom w:val="single" w:color="auto" w:sz="4" w:space="0"/>
              <w:right w:val="single" w:color="auto" w:sz="4" w:space="0"/>
            </w:tcBorders>
          </w:tcPr>
          <w:p w14:paraId="7FD2E104">
            <w:pPr>
              <w:widowControl/>
              <w:spacing w:line="360" w:lineRule="auto"/>
              <w:ind w:left="0" w:leftChars="0" w:right="0" w:rightChars="0" w:firstLine="0" w:firstLineChars="0"/>
              <w:jc w:val="left"/>
              <w:rPr>
                <w:rFonts w:hint="eastAsia" w:ascii="宋体" w:hAnsi="宋体" w:eastAsia="宋体" w:cs="宋体"/>
                <w:sz w:val="24"/>
                <w:szCs w:val="24"/>
              </w:rPr>
            </w:pPr>
          </w:p>
        </w:tc>
      </w:tr>
      <w:tr w14:paraId="3716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5EE103C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2779" w:type="pct"/>
            <w:tcBorders>
              <w:top w:val="single" w:color="auto" w:sz="4" w:space="0"/>
              <w:left w:val="single" w:color="auto" w:sz="4" w:space="0"/>
              <w:bottom w:val="single" w:color="auto" w:sz="4" w:space="0"/>
              <w:right w:val="single" w:color="auto" w:sz="4" w:space="0"/>
            </w:tcBorders>
          </w:tcPr>
          <w:p w14:paraId="161BB523">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包装、标识要求</w:t>
            </w:r>
          </w:p>
          <w:p w14:paraId="6B6490C3">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1）经确认配送的品牌和包装，内外包装应完整卫生，无受潮无破漏，真空包装无漏气/膨胀情况，内包装物应无破损，配送的货品形状完好无损。包装材料应符合相应的国家标准。容器(框箱、袋)要求清洁、干燥、牢固、透气无污染、无异味、无霉变现象。包装容器不得使用玻璃、金属等可能存在安全隐患的材质。</w:t>
            </w:r>
          </w:p>
          <w:p w14:paraId="2BD1539F">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2）所供食材必须符合国家行业生产及经营标准，食材包装标签应符合《食品安全国家标准预包装食品标签通则》(GB7718)要求，包括食材名称、配料表、净含量、规格、生产者(或)经销者的名称、地址和联系方式、生产日期和保质期、贮存条件、食品生产许可证编号、产品标准代号等内容，标签上附有产地、食品安全等溯源信息。</w:t>
            </w:r>
          </w:p>
        </w:tc>
        <w:tc>
          <w:tcPr>
            <w:tcW w:w="1631" w:type="pct"/>
            <w:tcBorders>
              <w:top w:val="single" w:color="auto" w:sz="4" w:space="0"/>
              <w:left w:val="single" w:color="auto" w:sz="4" w:space="0"/>
              <w:bottom w:val="single" w:color="auto" w:sz="4" w:space="0"/>
              <w:right w:val="single" w:color="auto" w:sz="4" w:space="0"/>
            </w:tcBorders>
          </w:tcPr>
          <w:p w14:paraId="12D2ABD3">
            <w:pPr>
              <w:widowControl/>
              <w:spacing w:line="360" w:lineRule="auto"/>
              <w:ind w:left="0" w:leftChars="0" w:right="0" w:rightChars="0" w:firstLine="0" w:firstLineChars="0"/>
              <w:jc w:val="left"/>
              <w:rPr>
                <w:rFonts w:hint="eastAsia" w:ascii="宋体" w:hAnsi="宋体" w:eastAsia="宋体" w:cs="宋体"/>
                <w:sz w:val="24"/>
                <w:szCs w:val="24"/>
              </w:rPr>
            </w:pPr>
          </w:p>
        </w:tc>
      </w:tr>
      <w:tr w14:paraId="6750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67428D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2779" w:type="pct"/>
            <w:tcBorders>
              <w:top w:val="single" w:color="auto" w:sz="4" w:space="0"/>
              <w:left w:val="single" w:color="auto" w:sz="4" w:space="0"/>
              <w:bottom w:val="single" w:color="auto" w:sz="4" w:space="0"/>
              <w:right w:val="single" w:color="auto" w:sz="4" w:space="0"/>
            </w:tcBorders>
          </w:tcPr>
          <w:p w14:paraId="33DD6C4F">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食材采购要求</w:t>
            </w:r>
          </w:p>
          <w:p w14:paraId="178D726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14:paraId="577E4B9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采购人要求采购；因运输装卸过程中造成的损耗(例如包装严重变形、破损、食品污染、变异等)，必须无条件及时更换。</w:t>
            </w:r>
          </w:p>
          <w:p w14:paraId="18A8BC91">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14:paraId="01E3EED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为推动脱贫地区农副产品的发展，按照采购人要求，部分食材需在“832平台”上进行采购，完成学校规定的年度采购任务，在该平台上采购的食材为不可竞争费用，最终结算以“832平台”上采购价格及实际采购数量据实结算。</w:t>
            </w:r>
          </w:p>
        </w:tc>
        <w:tc>
          <w:tcPr>
            <w:tcW w:w="1631" w:type="pct"/>
            <w:tcBorders>
              <w:top w:val="single" w:color="auto" w:sz="4" w:space="0"/>
              <w:left w:val="single" w:color="auto" w:sz="4" w:space="0"/>
              <w:bottom w:val="single" w:color="auto" w:sz="4" w:space="0"/>
              <w:right w:val="single" w:color="auto" w:sz="4" w:space="0"/>
            </w:tcBorders>
          </w:tcPr>
          <w:p w14:paraId="3402B7C6">
            <w:pPr>
              <w:widowControl/>
              <w:spacing w:line="360" w:lineRule="auto"/>
              <w:ind w:left="0" w:leftChars="0" w:right="0" w:rightChars="0" w:firstLine="0" w:firstLineChars="0"/>
              <w:jc w:val="left"/>
              <w:rPr>
                <w:rFonts w:hint="eastAsia" w:ascii="宋体" w:hAnsi="宋体" w:eastAsia="宋体" w:cs="宋体"/>
                <w:sz w:val="24"/>
                <w:szCs w:val="24"/>
              </w:rPr>
            </w:pPr>
          </w:p>
        </w:tc>
      </w:tr>
      <w:tr w14:paraId="6E3F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26F3D5A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c>
          <w:tcPr>
            <w:tcW w:w="2779" w:type="pct"/>
            <w:tcBorders>
              <w:top w:val="single" w:color="auto" w:sz="4" w:space="0"/>
              <w:left w:val="single" w:color="auto" w:sz="4" w:space="0"/>
              <w:bottom w:val="single" w:color="auto" w:sz="4" w:space="0"/>
              <w:right w:val="single" w:color="auto" w:sz="4" w:space="0"/>
            </w:tcBorders>
          </w:tcPr>
          <w:p w14:paraId="3F2A19E4">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食材配送要求</w:t>
            </w:r>
          </w:p>
          <w:p w14:paraId="2B1E4DB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供应商应按采购人计划和要求及时保质保量配送，保障学校食堂正常运行。供应商必须按采购文件的要求，配送新鲜的食材，保证食材的食品安全;凡配送的食材质量、数量与要求不符时，采购人有权拒收，并由供应商承担由此造成的直接经济损失。如遇特殊情况，供应商应在接到采购人食材清单三小时内运送到指定的地点。</w:t>
            </w:r>
          </w:p>
          <w:p w14:paraId="5750B88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（2）运输工具、配送人员、包装材料和运输途中的防护措施必须符合相关规定和要求。配送车辆和人员进入校园，必须遵守学校相关规定。</w:t>
            </w:r>
          </w:p>
          <w:p w14:paraId="0CAF2134">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针对此次保障项目，应在公司内部指定专门的人员负责，配备专用运输车进行配送保障(专车专用，如更换车辆需提前报备新车辆信息)，到达采购人指定地点时，由供应商负责卸货搬运。食品运输必须采用符合卫生标准的外包装和运载工具，并且要保持清洁和定期消毒。车厢内无不良气味、异味。整个运输过程应科学合理，运输车辆应定期清洁。食品堆放科学合理避免造成食品的交叉污染。</w:t>
            </w:r>
          </w:p>
          <w:p w14:paraId="44FDC08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（4）供应商具备组织配送、调运、包装、二次搬运的能力，配送的食材若出现任何问题，在采购人规定的时间内重新配送。</w:t>
            </w:r>
          </w:p>
          <w:p w14:paraId="42B38655">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（5）供应商必须按采购人所填订单配送，按规定时间送达，保障学校食堂正常运行。确保配送的食品优质、安全、可靠，确保运输安全，无条件更换运输过程中受到污染或变质的食品所需费用由供应商承担。</w:t>
            </w:r>
          </w:p>
          <w:p w14:paraId="5C7FAEC2">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（6）供应商在配送过程中要做好保鲜、保质措施，同时不得喷酒有毒有害物质进行保鲜或保质。否则一经查实，成交供应商将被取消供应资格，同时承担相应的责任。</w:t>
            </w:r>
          </w:p>
          <w:p w14:paraId="264CA06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（7）建立出入库台账。成交供应商对所供产品的食品安全负责。采购人将定期或不定期地对食材供应配送工作进行督查。对供应商提供不合格食材或不按要求配送，造成责任事故的将追究其法律责任。</w:t>
            </w:r>
          </w:p>
          <w:p w14:paraId="29002835">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（8）供应商在项目完成期间，严格明确安全责任，服从采购人的日常管理和检查，有健全的安全管理制度，保证工作人员安全。如因供应商原因导致发生任何安全事故或造成人员伤亡的，由供应商完全负责。</w:t>
            </w:r>
          </w:p>
        </w:tc>
        <w:tc>
          <w:tcPr>
            <w:tcW w:w="1631" w:type="pct"/>
            <w:tcBorders>
              <w:top w:val="single" w:color="auto" w:sz="4" w:space="0"/>
              <w:left w:val="single" w:color="auto" w:sz="4" w:space="0"/>
              <w:bottom w:val="single" w:color="auto" w:sz="4" w:space="0"/>
              <w:right w:val="single" w:color="auto" w:sz="4" w:space="0"/>
            </w:tcBorders>
          </w:tcPr>
          <w:p w14:paraId="7AAD87CB">
            <w:pPr>
              <w:widowControl/>
              <w:spacing w:line="360" w:lineRule="auto"/>
              <w:ind w:left="0" w:leftChars="0" w:right="0" w:rightChars="0" w:firstLine="0" w:firstLineChars="0"/>
              <w:jc w:val="left"/>
              <w:rPr>
                <w:rFonts w:hint="eastAsia" w:ascii="宋体" w:hAnsi="宋体" w:eastAsia="宋体" w:cs="宋体"/>
                <w:sz w:val="24"/>
                <w:szCs w:val="24"/>
              </w:rPr>
            </w:pPr>
          </w:p>
        </w:tc>
      </w:tr>
      <w:tr w14:paraId="7B0C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9" w:hRule="atLeast"/>
          <w:jc w:val="center"/>
        </w:trPr>
        <w:tc>
          <w:tcPr>
            <w:tcW w:w="589" w:type="pct"/>
            <w:tcBorders>
              <w:top w:val="single" w:color="auto" w:sz="4" w:space="0"/>
              <w:left w:val="single" w:color="auto" w:sz="4" w:space="0"/>
              <w:bottom w:val="single" w:color="auto" w:sz="4" w:space="0"/>
              <w:right w:val="single" w:color="auto" w:sz="4" w:space="0"/>
            </w:tcBorders>
          </w:tcPr>
          <w:p w14:paraId="14F3CC5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5</w:t>
            </w:r>
          </w:p>
        </w:tc>
        <w:tc>
          <w:tcPr>
            <w:tcW w:w="2779" w:type="pct"/>
            <w:tcBorders>
              <w:top w:val="single" w:color="auto" w:sz="4" w:space="0"/>
              <w:left w:val="single" w:color="auto" w:sz="4" w:space="0"/>
              <w:bottom w:val="single" w:color="auto" w:sz="4" w:space="0"/>
              <w:right w:val="single" w:color="auto" w:sz="4" w:space="0"/>
            </w:tcBorders>
          </w:tcPr>
          <w:p w14:paraId="38622EA5">
            <w:pPr>
              <w:pStyle w:val="4"/>
              <w:numPr>
                <w:ilvl w:val="0"/>
                <w:numId w:val="0"/>
              </w:num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运输要求 </w:t>
            </w:r>
          </w:p>
          <w:p w14:paraId="6025E96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（1）所提供的食材运输应由中标人负责，必须采用符合卫生标准的外包装和运载工具，并且要保持清洁和定期消毒。运输车厢的内仓应使用抗腐蚀、防潮、易清洁消毒的材料。车厢内无不良气味、异味。</w:t>
            </w:r>
          </w:p>
          <w:p w14:paraId="260DBA7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冷藏、冷冻食材必须用专用冷藏、冷冻载具运输，应当有必要的保温设备并在整个运输过程中保持安全的冷藏、冷冻温度。特别是对于长途运输的食材，保证食材在运输全过程处于合适的温度范围。整个运输过程应科学合理，运输车辆应定期清洁，保持性能稳定，符合规定的温度要求，使运输食材处于恒定的环境中。运输途中严防日晒、雨淋，注意通风散热；食材应小心轻卸，严防机械损伤。</w:t>
            </w:r>
          </w:p>
          <w:p w14:paraId="0DDB195C">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关于冷冻食材配送，目的地在一小时内的用保温车配送，一小时以外的用制冷车配送，保证冷冻食材中心温度控制在-2℃-7℃的范围之内，保证运输过程冷链不中断。食材到达目的地时外包装箱干爽，无软化现象。</w:t>
            </w:r>
          </w:p>
          <w:p w14:paraId="3977E23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卸货要求:送货车辆应保持清洁；食材堆放科学合理，避免造成食材的交叉污染；如对温度有要求的食材应确定食材的温度，记录送货车辆温度，并存档。在卸货过程中应保证冷藏食材脱离冷链时间不得超过20分钟，冷冻食材脱离冷链时间不得超过30分钟。</w:t>
            </w:r>
          </w:p>
        </w:tc>
        <w:tc>
          <w:tcPr>
            <w:tcW w:w="1631" w:type="pct"/>
            <w:tcBorders>
              <w:top w:val="single" w:color="auto" w:sz="4" w:space="0"/>
              <w:left w:val="single" w:color="auto" w:sz="4" w:space="0"/>
              <w:bottom w:val="single" w:color="auto" w:sz="4" w:space="0"/>
              <w:right w:val="single" w:color="auto" w:sz="4" w:space="0"/>
            </w:tcBorders>
          </w:tcPr>
          <w:p w14:paraId="4C83E59A">
            <w:pPr>
              <w:widowControl/>
              <w:spacing w:line="360" w:lineRule="auto"/>
              <w:ind w:left="0" w:leftChars="0" w:right="0" w:rightChars="0" w:firstLine="0" w:firstLineChars="0"/>
              <w:jc w:val="left"/>
              <w:rPr>
                <w:rFonts w:hint="eastAsia" w:ascii="宋体" w:hAnsi="宋体" w:eastAsia="宋体" w:cs="宋体"/>
                <w:sz w:val="24"/>
                <w:szCs w:val="24"/>
              </w:rPr>
            </w:pPr>
          </w:p>
        </w:tc>
      </w:tr>
      <w:tr w14:paraId="50F5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19E663A0">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2779" w:type="pct"/>
            <w:tcBorders>
              <w:top w:val="single" w:color="auto" w:sz="4" w:space="0"/>
              <w:left w:val="single" w:color="auto" w:sz="4" w:space="0"/>
              <w:bottom w:val="single" w:color="auto" w:sz="4" w:space="0"/>
              <w:right w:val="single" w:color="auto" w:sz="4" w:space="0"/>
            </w:tcBorders>
          </w:tcPr>
          <w:p w14:paraId="41E318A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食品安全管理要求</w:t>
            </w:r>
          </w:p>
          <w:p w14:paraId="5611D7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w:t>
            </w:r>
          </w:p>
          <w:p w14:paraId="7E37AC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tc>
        <w:tc>
          <w:tcPr>
            <w:tcW w:w="1631" w:type="pct"/>
            <w:tcBorders>
              <w:top w:val="single" w:color="auto" w:sz="4" w:space="0"/>
              <w:left w:val="single" w:color="auto" w:sz="4" w:space="0"/>
              <w:bottom w:val="single" w:color="auto" w:sz="4" w:space="0"/>
              <w:right w:val="single" w:color="auto" w:sz="4" w:space="0"/>
            </w:tcBorders>
          </w:tcPr>
          <w:p w14:paraId="375848FE">
            <w:pPr>
              <w:widowControl/>
              <w:spacing w:line="360" w:lineRule="auto"/>
              <w:ind w:left="0" w:leftChars="0" w:right="0" w:rightChars="0" w:firstLine="0" w:firstLineChars="0"/>
              <w:jc w:val="left"/>
              <w:rPr>
                <w:rFonts w:hint="eastAsia" w:ascii="宋体" w:hAnsi="宋体" w:eastAsia="宋体" w:cs="宋体"/>
                <w:sz w:val="24"/>
                <w:szCs w:val="24"/>
              </w:rPr>
            </w:pPr>
          </w:p>
        </w:tc>
      </w:tr>
      <w:tr w14:paraId="0764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2748ED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7</w:t>
            </w:r>
          </w:p>
        </w:tc>
        <w:tc>
          <w:tcPr>
            <w:tcW w:w="2779" w:type="pct"/>
            <w:tcBorders>
              <w:top w:val="single" w:color="auto" w:sz="4" w:space="0"/>
              <w:left w:val="single" w:color="auto" w:sz="4" w:space="0"/>
              <w:bottom w:val="single" w:color="auto" w:sz="4" w:space="0"/>
              <w:right w:val="single" w:color="auto" w:sz="4" w:space="0"/>
            </w:tcBorders>
          </w:tcPr>
          <w:p w14:paraId="744D1E1A">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食材采购溯源要求</w:t>
            </w:r>
          </w:p>
          <w:p w14:paraId="67EE15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（1）需记录食材名称、规格、数量、生产日期/批号、保质期、食材的产地（如种植基地、养殖场所）、采收/屠宰时间、采购日期、运输方式、运输过程中的温度等关键条件（针对冷链食材）、入库验收记录等。</w:t>
            </w:r>
          </w:p>
          <w:p w14:paraId="4A49A4E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（2）建立食材采购信息档案，确保食材从生产、加工、运输到销售的全流程信息可追溯。</w:t>
            </w:r>
          </w:p>
          <w:p w14:paraId="39F9CF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（3）相关信息应准确、完整，并便于查询，消费者和监管部门可通过扫码等方式获取溯源数据。</w:t>
            </w:r>
          </w:p>
          <w:p w14:paraId="67B54F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（4）供应商对溯源信息的真实性和完整性负责，若食材出现任何问题，由供应商承担全部责任。</w:t>
            </w:r>
          </w:p>
        </w:tc>
        <w:tc>
          <w:tcPr>
            <w:tcW w:w="1631" w:type="pct"/>
            <w:tcBorders>
              <w:top w:val="single" w:color="auto" w:sz="4" w:space="0"/>
              <w:left w:val="single" w:color="auto" w:sz="4" w:space="0"/>
              <w:bottom w:val="single" w:color="auto" w:sz="4" w:space="0"/>
              <w:right w:val="single" w:color="auto" w:sz="4" w:space="0"/>
            </w:tcBorders>
          </w:tcPr>
          <w:p w14:paraId="039BB467">
            <w:pPr>
              <w:widowControl/>
              <w:spacing w:line="360" w:lineRule="auto"/>
              <w:ind w:left="0" w:leftChars="0" w:right="0" w:rightChars="0" w:firstLine="0" w:firstLineChars="0"/>
              <w:jc w:val="left"/>
              <w:rPr>
                <w:rFonts w:hint="eastAsia" w:ascii="宋体" w:hAnsi="宋体" w:eastAsia="宋体" w:cs="宋体"/>
                <w:sz w:val="24"/>
                <w:szCs w:val="24"/>
              </w:rPr>
            </w:pPr>
          </w:p>
        </w:tc>
      </w:tr>
      <w:tr w14:paraId="2BE52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4E9276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8</w:t>
            </w:r>
          </w:p>
        </w:tc>
        <w:tc>
          <w:tcPr>
            <w:tcW w:w="2779" w:type="pct"/>
            <w:tcBorders>
              <w:top w:val="single" w:color="auto" w:sz="4" w:space="0"/>
              <w:left w:val="single" w:color="auto" w:sz="4" w:space="0"/>
              <w:bottom w:val="single" w:color="auto" w:sz="4" w:space="0"/>
              <w:right w:val="single" w:color="auto" w:sz="4" w:space="0"/>
            </w:tcBorders>
          </w:tcPr>
          <w:p w14:paraId="0B8A61DC">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供应商履约约束与违约责任</w:t>
            </w:r>
          </w:p>
          <w:p w14:paraId="749F60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14:paraId="350AF6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14:paraId="06EC3E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（3）供应商在项目实施期间，严格明确安全责任，服从采购人的日常管理和检查，有健全的安全管理制度，保证工作人员安全。如因供应商原因导致发生任何安全事故或造成人员伤亡的，由供应商完全负责。</w:t>
            </w:r>
          </w:p>
          <w:p w14:paraId="62B442D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（4）单次供货食材抽检不合格，该批次全部退回，供应商 24 小时内免费补货；同一学年累计 2 次及以上抽检不合格，采购人有权解除合同。</w:t>
            </w:r>
          </w:p>
          <w:p w14:paraId="3E3D7F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（5）因供应商食材问题引发师生食物中毒、群体性食源性疾病等食品安全事故，供应商承担全部医疗费、赔偿金、行政处罚费用，采购人立即终止合同并追究法律责任。</w:t>
            </w:r>
          </w:p>
          <w:p w14:paraId="4BAE07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（6）供应商不得转包、分包本项目配送业务，未经采购人书面许可擅自分包的，视为严重违约，采购人直接解除合同。</w:t>
            </w:r>
          </w:p>
          <w:p w14:paraId="3A1BD7B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（7）供应商具有食材本地化配送及售后保障能力。</w:t>
            </w:r>
          </w:p>
        </w:tc>
        <w:tc>
          <w:tcPr>
            <w:tcW w:w="1631" w:type="pct"/>
            <w:tcBorders>
              <w:top w:val="single" w:color="auto" w:sz="4" w:space="0"/>
              <w:left w:val="single" w:color="auto" w:sz="4" w:space="0"/>
              <w:bottom w:val="single" w:color="auto" w:sz="4" w:space="0"/>
              <w:right w:val="single" w:color="auto" w:sz="4" w:space="0"/>
            </w:tcBorders>
          </w:tcPr>
          <w:p w14:paraId="476E33A1">
            <w:pPr>
              <w:widowControl/>
              <w:spacing w:line="360" w:lineRule="auto"/>
              <w:ind w:left="0" w:leftChars="0" w:right="0" w:rightChars="0" w:firstLine="0" w:firstLineChars="0"/>
              <w:jc w:val="left"/>
              <w:rPr>
                <w:rFonts w:hint="eastAsia" w:ascii="宋体" w:hAnsi="宋体" w:eastAsia="宋体" w:cs="宋体"/>
                <w:sz w:val="24"/>
                <w:szCs w:val="24"/>
              </w:rPr>
            </w:pPr>
          </w:p>
        </w:tc>
      </w:tr>
      <w:tr w14:paraId="258D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42BFD36B">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9</w:t>
            </w:r>
          </w:p>
        </w:tc>
        <w:tc>
          <w:tcPr>
            <w:tcW w:w="2779" w:type="pct"/>
            <w:tcBorders>
              <w:top w:val="single" w:color="auto" w:sz="4" w:space="0"/>
              <w:left w:val="single" w:color="auto" w:sz="4" w:space="0"/>
              <w:bottom w:val="single" w:color="auto" w:sz="4" w:space="0"/>
              <w:right w:val="single" w:color="auto" w:sz="4" w:space="0"/>
            </w:tcBorders>
          </w:tcPr>
          <w:p w14:paraId="770B32AC">
            <w:pPr>
              <w:pStyle w:val="4"/>
              <w:numPr>
                <w:ilvl w:val="0"/>
                <w:numId w:val="0"/>
              </w:numPr>
              <w:spacing w:line="360" w:lineRule="auto"/>
              <w:ind w:left="0" w:leftChars="0"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结算方式：据实结算</w:t>
            </w:r>
          </w:p>
          <w:p w14:paraId="05B9D11E">
            <w:pPr>
              <w:pStyle w:val="4"/>
              <w:numPr>
                <w:ilvl w:val="0"/>
                <w:numId w:val="0"/>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供应商在供货前需提供不少于三个品牌的产品供学校进行选择，以学校确定的品牌产品进行供货。确定产品后学校进行市场询价，确定最终结算基准价，合同期内结算基准价不进行调整。据实结算=结算基准价*（1-中标下浮率）</w:t>
            </w:r>
          </w:p>
        </w:tc>
        <w:tc>
          <w:tcPr>
            <w:tcW w:w="1631" w:type="pct"/>
            <w:tcBorders>
              <w:top w:val="single" w:color="auto" w:sz="4" w:space="0"/>
              <w:left w:val="single" w:color="auto" w:sz="4" w:space="0"/>
              <w:bottom w:val="single" w:color="auto" w:sz="4" w:space="0"/>
              <w:right w:val="single" w:color="auto" w:sz="4" w:space="0"/>
            </w:tcBorders>
          </w:tcPr>
          <w:p w14:paraId="06C600C6">
            <w:pPr>
              <w:widowControl/>
              <w:spacing w:line="360" w:lineRule="auto"/>
              <w:ind w:left="0" w:leftChars="0" w:right="0" w:rightChars="0" w:firstLine="0" w:firstLineChars="0"/>
              <w:jc w:val="left"/>
              <w:rPr>
                <w:rFonts w:hint="eastAsia" w:ascii="宋体" w:hAnsi="宋体" w:eastAsia="宋体" w:cs="宋体"/>
                <w:sz w:val="24"/>
                <w:szCs w:val="24"/>
              </w:rPr>
            </w:pPr>
            <w:bookmarkStart w:id="0" w:name="_GoBack"/>
            <w:bookmarkEnd w:id="0"/>
          </w:p>
        </w:tc>
      </w:tr>
      <w:tr w14:paraId="3E8C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DE008FB">
            <w:pPr>
              <w:widowControl/>
              <w:spacing w:line="360" w:lineRule="auto"/>
              <w:ind w:left="0" w:leftChars="0" w:right="0" w:rightChars="0" w:firstLine="0" w:firstLineChars="0"/>
              <w:jc w:val="center"/>
              <w:rPr>
                <w:rFonts w:hint="eastAsia" w:ascii="宋体" w:hAnsi="宋体" w:cs="宋体"/>
                <w:sz w:val="24"/>
                <w:szCs w:val="24"/>
                <w:lang w:val="en-US" w:eastAsia="zh-CN"/>
              </w:rPr>
            </w:pPr>
            <w:r>
              <w:rPr>
                <w:rFonts w:hint="eastAsia" w:ascii="宋体" w:hAnsi="宋体" w:cs="宋体"/>
                <w:sz w:val="24"/>
                <w:szCs w:val="24"/>
                <w:lang w:val="en-US" w:eastAsia="zh-CN"/>
              </w:rPr>
              <w:t>……</w:t>
            </w:r>
          </w:p>
        </w:tc>
        <w:tc>
          <w:tcPr>
            <w:tcW w:w="2779" w:type="pct"/>
            <w:tcBorders>
              <w:top w:val="single" w:color="auto" w:sz="4" w:space="0"/>
              <w:left w:val="single" w:color="auto" w:sz="4" w:space="0"/>
              <w:bottom w:val="single" w:color="auto" w:sz="4" w:space="0"/>
              <w:right w:val="single" w:color="auto" w:sz="4" w:space="0"/>
            </w:tcBorders>
          </w:tcPr>
          <w:p w14:paraId="03AE2556">
            <w:pPr>
              <w:pStyle w:val="4"/>
              <w:numPr>
                <w:ilvl w:val="0"/>
                <w:numId w:val="0"/>
              </w:numPr>
              <w:spacing w:line="360" w:lineRule="auto"/>
              <w:ind w:left="0" w:leftChars="0" w:firstLine="480" w:firstLineChars="200"/>
              <w:rPr>
                <w:rFonts w:hint="eastAsia" w:ascii="宋体" w:hAnsi="宋体" w:eastAsia="宋体" w:cs="宋体"/>
                <w:b w:val="0"/>
                <w:bCs w:val="0"/>
                <w:color w:val="auto"/>
                <w:sz w:val="24"/>
                <w:szCs w:val="24"/>
                <w:lang w:val="en-US" w:eastAsia="zh-CN"/>
              </w:rPr>
            </w:pPr>
          </w:p>
        </w:tc>
        <w:tc>
          <w:tcPr>
            <w:tcW w:w="1631" w:type="pct"/>
            <w:tcBorders>
              <w:top w:val="single" w:color="auto" w:sz="4" w:space="0"/>
              <w:left w:val="single" w:color="auto" w:sz="4" w:space="0"/>
              <w:bottom w:val="single" w:color="auto" w:sz="4" w:space="0"/>
              <w:right w:val="single" w:color="auto" w:sz="4" w:space="0"/>
            </w:tcBorders>
          </w:tcPr>
          <w:p w14:paraId="26071013">
            <w:pPr>
              <w:widowControl/>
              <w:spacing w:line="360" w:lineRule="auto"/>
              <w:ind w:left="0" w:leftChars="0" w:right="0" w:rightChars="0" w:firstLine="0" w:firstLineChars="0"/>
              <w:jc w:val="left"/>
              <w:rPr>
                <w:rFonts w:hint="eastAsia" w:ascii="宋体" w:hAnsi="宋体" w:eastAsia="宋体" w:cs="宋体"/>
                <w:sz w:val="24"/>
                <w:szCs w:val="24"/>
              </w:rPr>
            </w:pPr>
          </w:p>
        </w:tc>
      </w:tr>
    </w:tbl>
    <w:p w14:paraId="33F72F20">
      <w:pPr>
        <w:widowControl/>
        <w:spacing w:line="360" w:lineRule="auto"/>
        <w:ind w:firstLine="560" w:firstLineChars="200"/>
        <w:jc w:val="left"/>
        <w:rPr>
          <w:rFonts w:ascii="宋体" w:hAnsi="宋体" w:cs="宋体"/>
          <w:sz w:val="28"/>
          <w:szCs w:val="28"/>
        </w:rPr>
      </w:pPr>
      <w:r>
        <w:rPr>
          <w:rFonts w:hint="eastAsia" w:ascii="宋体" w:hAnsi="宋体" w:cs="宋体"/>
          <w:sz w:val="28"/>
          <w:szCs w:val="28"/>
        </w:rPr>
        <w:t>注：1以上表格格式行、列可增</w:t>
      </w:r>
      <w:r>
        <w:rPr>
          <w:rFonts w:hint="eastAsia" w:ascii="宋体" w:hAnsi="宋体" w:cs="宋体"/>
          <w:sz w:val="28"/>
          <w:szCs w:val="28"/>
          <w:lang w:val="en-US" w:eastAsia="zh-CN"/>
        </w:rPr>
        <w:t>加，但不得减少</w:t>
      </w:r>
      <w:r>
        <w:rPr>
          <w:rFonts w:hint="eastAsia" w:ascii="宋体" w:hAnsi="宋体" w:cs="宋体"/>
          <w:sz w:val="28"/>
          <w:szCs w:val="28"/>
        </w:rPr>
        <w:t>。</w:t>
      </w:r>
    </w:p>
    <w:p w14:paraId="6B8476A0">
      <w:pPr>
        <w:rPr>
          <w:rFonts w:ascii="宋体" w:hAnsi="宋体" w:cs="宋体"/>
          <w:b/>
          <w:bCs/>
          <w:sz w:val="28"/>
          <w:szCs w:val="28"/>
        </w:rPr>
      </w:pPr>
    </w:p>
    <w:p w14:paraId="12AFE66E">
      <w:pPr>
        <w:spacing w:line="500" w:lineRule="exact"/>
        <w:ind w:firstLine="4320" w:firstLineChars="1800"/>
        <w:rPr>
          <w:rFonts w:hint="eastAsia" w:ascii="宋体" w:hAnsi="宋体" w:cs="宋体"/>
          <w:sz w:val="24"/>
        </w:rPr>
      </w:pPr>
      <w:r>
        <w:rPr>
          <w:rFonts w:hint="eastAsia" w:ascii="宋体" w:hAnsi="宋体" w:cs="宋体"/>
          <w:sz w:val="24"/>
        </w:rPr>
        <w:t>投标人（</w:t>
      </w:r>
      <w:r>
        <w:rPr>
          <w:rFonts w:hint="eastAsia" w:ascii="宋体" w:hAnsi="宋体" w:cs="宋体"/>
          <w:sz w:val="24"/>
          <w:lang w:val="en-US" w:eastAsia="zh-CN"/>
        </w:rPr>
        <w:t>签</w:t>
      </w:r>
      <w:r>
        <w:rPr>
          <w:rFonts w:hint="eastAsia" w:ascii="宋体" w:hAnsi="宋体" w:cs="宋体"/>
          <w:sz w:val="24"/>
        </w:rPr>
        <w:t>章）：</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p>
    <w:p w14:paraId="4A968D39">
      <w:pPr>
        <w:ind w:firstLine="1920" w:firstLineChars="800"/>
        <w:rPr>
          <w:rFonts w:hint="eastAsia" w:ascii="宋体" w:hAnsi="宋体" w:eastAsia="宋体" w:cs="宋体"/>
          <w:sz w:val="24"/>
          <w:lang w:val="en-US" w:eastAsia="zh-CN"/>
        </w:rPr>
      </w:pPr>
      <w:r>
        <w:rPr>
          <w:rFonts w:hint="eastAsia" w:ascii="宋体" w:hAnsi="宋体" w:cs="宋体"/>
          <w:sz w:val="24"/>
          <w:lang w:val="en-US" w:eastAsia="zh-CN"/>
        </w:rPr>
        <w:t xml:space="preserve"> </w:t>
      </w:r>
    </w:p>
    <w:p w14:paraId="75EB501D">
      <w:pPr>
        <w:ind w:firstLine="5280" w:firstLineChars="2200"/>
      </w:pPr>
      <w:r>
        <w:rPr>
          <w:rFonts w:hint="eastAsia" w:ascii="宋体" w:hAnsi="宋体" w:cs="宋体"/>
          <w:sz w:val="24"/>
        </w:rPr>
        <w:t>年   月   日</w:t>
      </w:r>
    </w:p>
    <w:p w14:paraId="4EC545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EE2D60"/>
    <w:rsid w:val="00006953"/>
    <w:rsid w:val="000E2E1D"/>
    <w:rsid w:val="00221E9F"/>
    <w:rsid w:val="00384BF6"/>
    <w:rsid w:val="00394815"/>
    <w:rsid w:val="003B4566"/>
    <w:rsid w:val="00406B18"/>
    <w:rsid w:val="00684B6B"/>
    <w:rsid w:val="006C704D"/>
    <w:rsid w:val="00913528"/>
    <w:rsid w:val="00935EBD"/>
    <w:rsid w:val="009A35D2"/>
    <w:rsid w:val="00E7628C"/>
    <w:rsid w:val="00EF3E4A"/>
    <w:rsid w:val="00F918A5"/>
    <w:rsid w:val="00FA2053"/>
    <w:rsid w:val="13165847"/>
    <w:rsid w:val="1FFAA9F5"/>
    <w:rsid w:val="268912C6"/>
    <w:rsid w:val="357B2CD2"/>
    <w:rsid w:val="395A0218"/>
    <w:rsid w:val="47F61BCD"/>
    <w:rsid w:val="4BD458CE"/>
    <w:rsid w:val="60CD4821"/>
    <w:rsid w:val="6CEE2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0"/>
    <w:pPr>
      <w:jc w:val="left"/>
    </w:pPr>
  </w:style>
  <w:style w:type="paragraph" w:styleId="4">
    <w:name w:val="Body Text"/>
    <w:basedOn w:val="1"/>
    <w:qFormat/>
    <w:uiPriority w:val="0"/>
    <w:pPr>
      <w:spacing w:after="120"/>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oc 2"/>
    <w:basedOn w:val="1"/>
    <w:next w:val="1"/>
    <w:qFormat/>
    <w:uiPriority w:val="0"/>
    <w:pPr>
      <w:ind w:left="240"/>
    </w:pPr>
    <w:rPr>
      <w:smallCaps/>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unhideWhenUsed/>
    <w:qFormat/>
    <w:uiPriority w:val="99"/>
    <w:rPr>
      <w:sz w:val="21"/>
      <w:szCs w:val="21"/>
    </w:rPr>
  </w:style>
  <w:style w:type="character" w:customStyle="1" w:styleId="12">
    <w:name w:val="批注文字 字符"/>
    <w:basedOn w:val="10"/>
    <w:link w:val="3"/>
    <w:qFormat/>
    <w:uiPriority w:val="0"/>
    <w:rPr>
      <w:rFonts w:ascii="Calibri" w:hAnsi="Calibri" w:eastAsia="宋体" w:cs="Times New Roman"/>
      <w:kern w:val="2"/>
      <w:sz w:val="21"/>
      <w:szCs w:val="22"/>
    </w:rPr>
  </w:style>
  <w:style w:type="character" w:customStyle="1" w:styleId="13">
    <w:name w:val="页眉 字符"/>
    <w:basedOn w:val="10"/>
    <w:link w:val="6"/>
    <w:qFormat/>
    <w:uiPriority w:val="0"/>
    <w:rPr>
      <w:rFonts w:ascii="Calibri" w:hAnsi="Calibri" w:eastAsia="宋体" w:cs="Times New Roman"/>
      <w:kern w:val="2"/>
      <w:sz w:val="18"/>
      <w:szCs w:val="18"/>
    </w:rPr>
  </w:style>
  <w:style w:type="character" w:customStyle="1" w:styleId="14">
    <w:name w:val="页脚 字符"/>
    <w:basedOn w:val="10"/>
    <w:link w:val="5"/>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3583</Words>
  <Characters>3604</Characters>
  <Lines>1</Lines>
  <Paragraphs>1</Paragraphs>
  <TotalTime>0</TotalTime>
  <ScaleCrop>false</ScaleCrop>
  <LinksUpToDate>false</LinksUpToDate>
  <CharactersWithSpaces>3645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2022-03-16T19:13:00Z</dcterms:created>
  <dc:creator>陕西省政府采购综合管理平台</dc:creator>
  <cp:lastModifiedBy>WPS_1730446345</cp:lastModifiedBy>
  <dcterms:modified xsi:type="dcterms:W3CDTF">2026-07-30T06:30:25Z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eyJoZGlkIjoiNzRmYTc3NGRiZGYyYzEyMDJmNGQwMjAyYmI3NjZiYWUiLCJ1c2VySWQiOiIxNjUwNzU2NTAyIn0=</vt:lpwstr>
  </property>
  <property fmtid="{D5CDD505-2E9C-101B-9397-08002B2CF9AE}" pid="4" name="ICV">
    <vt:lpwstr>B5B380B5F3154A128CB77235ED7AC905_12</vt:lpwstr>
  </property>
</Properties>
</file>