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253C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渭南高级中学餐厅2026年大宗食材采购项目</w:t>
      </w:r>
    </w:p>
    <w:p w14:paraId="01446567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采购合同</w:t>
      </w:r>
    </w:p>
    <w:p w14:paraId="35292564">
      <w:pPr>
        <w:spacing w:before="104" w:line="221" w:lineRule="auto"/>
        <w:ind w:left="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606070"/>
          <w:spacing w:val="-15"/>
          <w:sz w:val="28"/>
          <w:szCs w:val="28"/>
        </w:rPr>
        <w:t>合同编号：</w:t>
      </w:r>
    </w:p>
    <w:p w14:paraId="550C1BEB">
      <w:pPr>
        <w:pStyle w:val="2"/>
        <w:spacing w:before="299" w:line="222" w:lineRule="auto"/>
        <w:ind w:left="3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606070"/>
          <w:spacing w:val="-14"/>
          <w:sz w:val="28"/>
          <w:szCs w:val="28"/>
        </w:rPr>
        <w:t>甲方(采购方):</w:t>
      </w:r>
      <w:r>
        <w:rPr>
          <w:rFonts w:hint="eastAsia" w:ascii="仿宋" w:hAnsi="仿宋" w:eastAsia="仿宋" w:cs="仿宋"/>
          <w:color w:val="606070"/>
          <w:spacing w:val="-8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606070"/>
          <w:spacing w:val="-14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5"/>
          <w:sz w:val="28"/>
          <w:szCs w:val="28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pacing w:val="-16"/>
          <w:sz w:val="28"/>
          <w:szCs w:val="28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color w:val="606070"/>
          <w:spacing w:val="-14"/>
          <w:sz w:val="28"/>
          <w:szCs w:val="28"/>
          <w:lang w:val="en-US" w:eastAsia="zh-CN"/>
        </w:rPr>
        <w:t xml:space="preserve">         </w:t>
      </w:r>
    </w:p>
    <w:p w14:paraId="2F0B9794">
      <w:pPr>
        <w:pStyle w:val="2"/>
        <w:spacing w:before="235" w:line="222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5"/>
          <w:sz w:val="28"/>
          <w:szCs w:val="28"/>
        </w:rPr>
        <w:t>统一社会信用代码：</w:t>
      </w:r>
      <w:r>
        <w:rPr>
          <w:rFonts w:hint="eastAsia" w:ascii="仿宋" w:hAnsi="仿宋" w:eastAsia="仿宋" w:cs="仿宋"/>
          <w:spacing w:val="-15"/>
          <w:sz w:val="28"/>
          <w:szCs w:val="28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pacing w:val="-16"/>
          <w:sz w:val="28"/>
          <w:szCs w:val="28"/>
          <w:u w:val="single" w:color="auto"/>
        </w:rPr>
        <w:t xml:space="preserve">           </w:t>
      </w:r>
    </w:p>
    <w:p w14:paraId="333DF57B">
      <w:pPr>
        <w:pStyle w:val="2"/>
        <w:spacing w:before="234" w:line="221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单位法人：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</w:t>
      </w:r>
    </w:p>
    <w:p w14:paraId="30DCBE1E">
      <w:pPr>
        <w:pStyle w:val="2"/>
        <w:spacing w:before="288" w:line="219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3"/>
          <w:sz w:val="28"/>
          <w:szCs w:val="28"/>
        </w:rPr>
        <w:t>单位地址：渭南市</w:t>
      </w:r>
      <w:r>
        <w:rPr>
          <w:rFonts w:hint="eastAsia" w:ascii="仿宋" w:hAnsi="仿宋" w:eastAsia="仿宋" w:cs="仿宋"/>
          <w:spacing w:val="30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1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>区 ( 县 )</w:t>
      </w:r>
      <w:r>
        <w:rPr>
          <w:rFonts w:hint="eastAsia" w:ascii="仿宋" w:hAnsi="仿宋" w:eastAsia="仿宋" w:cs="仿宋"/>
          <w:position w:val="-4"/>
          <w:sz w:val="28"/>
          <w:szCs w:val="28"/>
        </w:rPr>
        <w:drawing>
          <wp:inline distT="0" distB="0" distL="0" distR="0">
            <wp:extent cx="570230" cy="952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0609" cy="1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pacing w:val="-1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>路</w:t>
      </w:r>
      <w:r>
        <w:rPr>
          <w:rFonts w:hint="eastAsia" w:ascii="仿宋" w:hAnsi="仿宋" w:eastAsia="仿宋" w:cs="仿宋"/>
          <w:spacing w:val="27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1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>号</w:t>
      </w:r>
    </w:p>
    <w:p w14:paraId="4637F9F1">
      <w:pPr>
        <w:pStyle w:val="2"/>
        <w:spacing w:before="244" w:line="223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</w:t>
      </w:r>
    </w:p>
    <w:p w14:paraId="4422737D">
      <w:pPr>
        <w:spacing w:line="266" w:lineRule="auto"/>
        <w:rPr>
          <w:rFonts w:hint="eastAsia" w:ascii="仿宋" w:hAnsi="仿宋" w:eastAsia="仿宋" w:cs="仿宋"/>
          <w:sz w:val="28"/>
          <w:szCs w:val="28"/>
        </w:rPr>
      </w:pPr>
    </w:p>
    <w:p w14:paraId="26215955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5497E77D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6D9528B0">
      <w:pPr>
        <w:pStyle w:val="2"/>
        <w:spacing w:before="108" w:line="222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0"/>
          <w:sz w:val="28"/>
          <w:szCs w:val="28"/>
        </w:rPr>
        <w:t>乙方(供应方):</w:t>
      </w:r>
      <w:r>
        <w:rPr>
          <w:rFonts w:hint="eastAsia" w:ascii="仿宋" w:hAnsi="仿宋" w:eastAsia="仿宋" w:cs="仿宋"/>
          <w:spacing w:val="-15"/>
          <w:sz w:val="28"/>
          <w:szCs w:val="28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pacing w:val="-15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5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u w:val="single" w:color="auto"/>
        </w:rPr>
        <w:t xml:space="preserve">           </w:t>
      </w:r>
    </w:p>
    <w:p w14:paraId="4A65084C">
      <w:pPr>
        <w:pStyle w:val="2"/>
        <w:spacing w:before="230" w:line="222" w:lineRule="auto"/>
        <w:ind w:left="9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9"/>
          <w:sz w:val="28"/>
          <w:szCs w:val="28"/>
        </w:rPr>
        <w:t>统一社会信用代码：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</w:t>
      </w:r>
    </w:p>
    <w:p w14:paraId="08D6E333">
      <w:pPr>
        <w:pStyle w:val="2"/>
        <w:spacing w:before="278" w:line="222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3"/>
          <w:sz w:val="28"/>
          <w:szCs w:val="28"/>
        </w:rPr>
        <w:t>食品生产经营许可证编号：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</w:t>
      </w:r>
    </w:p>
    <w:p w14:paraId="5AA5E5F8">
      <w:pPr>
        <w:pStyle w:val="2"/>
        <w:spacing w:before="193" w:line="227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8"/>
          <w:sz w:val="28"/>
          <w:szCs w:val="28"/>
        </w:rPr>
        <w:t>企业法人：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</w:t>
      </w:r>
    </w:p>
    <w:p w14:paraId="31FD1053">
      <w:pPr>
        <w:pStyle w:val="2"/>
        <w:spacing w:before="229" w:line="232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8"/>
          <w:sz w:val="28"/>
          <w:szCs w:val="28"/>
        </w:rPr>
        <w:t>企业地址：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 </w:t>
      </w:r>
    </w:p>
    <w:p w14:paraId="155EE338">
      <w:pPr>
        <w:pStyle w:val="2"/>
        <w:spacing w:before="244" w:line="223" w:lineRule="auto"/>
        <w:ind w:left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8"/>
          <w:sz w:val="28"/>
          <w:szCs w:val="28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</w:t>
      </w:r>
    </w:p>
    <w:p w14:paraId="284DF4AE">
      <w:pPr>
        <w:spacing w:line="300" w:lineRule="auto"/>
        <w:rPr>
          <w:rFonts w:hint="eastAsia" w:ascii="仿宋" w:hAnsi="仿宋" w:eastAsia="仿宋" w:cs="仿宋"/>
          <w:sz w:val="28"/>
          <w:szCs w:val="28"/>
        </w:rPr>
      </w:pPr>
    </w:p>
    <w:p w14:paraId="12DA651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根据《中华人民共和国民法典》《中华人民共和国食品安全 法》,教育部办公厅市场监管总局办公厅《学校食堂大宗食材  采购验收管理工作指引》(教体艺厅函〔2025〕30号)、《陕西省  中小学、幼儿园集中用餐管理办法(试行)》(陕教规范〔2025〕 1号),通过公开招标,甲乙双方本着平等自愿、公平公正、安全合规的原则，经协商一致，签订本合同。 </w:t>
      </w:r>
    </w:p>
    <w:p w14:paraId="4DD7EAEF">
      <w:pPr>
        <w:spacing w:line="360" w:lineRule="auto"/>
        <w:ind w:firstLine="56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第一条供应内容及质量标准</w:t>
      </w:r>
    </w:p>
    <w:p w14:paraId="41BA4269">
      <w:pPr>
        <w:pStyle w:val="2"/>
        <w:spacing w:before="114" w:line="360" w:lineRule="auto"/>
        <w:ind w:left="3" w:firstLine="680"/>
        <w:jc w:val="both"/>
        <w:rPr>
          <w:rFonts w:hint="eastAsia" w:ascii="仿宋" w:hAnsi="仿宋" w:eastAsia="仿宋" w:cs="仿宋"/>
          <w:sz w:val="28"/>
          <w:szCs w:val="28"/>
        </w:rPr>
        <w:sectPr>
          <w:footerReference r:id="rId5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401F29EC">
      <w:pPr>
        <w:spacing w:before="40" w:line="219" w:lineRule="auto"/>
        <w:ind w:left="769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1.1</w:t>
      </w:r>
      <w:r>
        <w:rPr>
          <w:rFonts w:hint="eastAsia" w:ascii="仿宋" w:hAnsi="仿宋" w:eastAsia="仿宋" w:cs="仿宋"/>
          <w:b/>
          <w:bCs/>
          <w:spacing w:val="-4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乙方向甲方供应校园餐食材，清单如下：</w:t>
      </w:r>
    </w:p>
    <w:p w14:paraId="5E6949FA">
      <w:pPr>
        <w:spacing w:line="16" w:lineRule="exact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6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1768"/>
        <w:gridCol w:w="1418"/>
        <w:gridCol w:w="1528"/>
        <w:gridCol w:w="1019"/>
        <w:gridCol w:w="1489"/>
        <w:gridCol w:w="884"/>
      </w:tblGrid>
      <w:tr w14:paraId="0282A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74" w:type="dxa"/>
            <w:vAlign w:val="top"/>
          </w:tcPr>
          <w:p w14:paraId="2D9A76EE">
            <w:pPr>
              <w:spacing w:before="194" w:line="221" w:lineRule="auto"/>
              <w:ind w:left="14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8"/>
                <w:szCs w:val="28"/>
              </w:rPr>
              <w:t>序号</w:t>
            </w:r>
          </w:p>
        </w:tc>
        <w:tc>
          <w:tcPr>
            <w:tcW w:w="1768" w:type="dxa"/>
            <w:vAlign w:val="top"/>
          </w:tcPr>
          <w:p w14:paraId="63963DAD">
            <w:pPr>
              <w:spacing w:before="201" w:line="219" w:lineRule="auto"/>
              <w:ind w:left="56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8"/>
                <w:szCs w:val="28"/>
              </w:rPr>
              <w:t>种</w:t>
            </w:r>
            <w:r>
              <w:rPr>
                <w:rFonts w:hint="eastAsia" w:ascii="仿宋" w:hAnsi="仿宋" w:eastAsia="仿宋" w:cs="仿宋"/>
                <w:spacing w:val="9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7"/>
                <w:sz w:val="28"/>
                <w:szCs w:val="28"/>
              </w:rPr>
              <w:t>类</w:t>
            </w:r>
          </w:p>
        </w:tc>
        <w:tc>
          <w:tcPr>
            <w:tcW w:w="1418" w:type="dxa"/>
            <w:vAlign w:val="top"/>
          </w:tcPr>
          <w:p w14:paraId="48E40934">
            <w:pPr>
              <w:spacing w:before="142" w:line="219" w:lineRule="auto"/>
              <w:ind w:left="41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8"/>
                <w:szCs w:val="28"/>
              </w:rPr>
              <w:t>品牌</w:t>
            </w:r>
          </w:p>
        </w:tc>
        <w:tc>
          <w:tcPr>
            <w:tcW w:w="1528" w:type="dxa"/>
            <w:vAlign w:val="top"/>
          </w:tcPr>
          <w:p w14:paraId="7D3F6957">
            <w:pPr>
              <w:spacing w:before="192" w:line="219" w:lineRule="auto"/>
              <w:ind w:left="47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8"/>
                <w:szCs w:val="28"/>
              </w:rPr>
              <w:t>规格</w:t>
            </w:r>
          </w:p>
        </w:tc>
        <w:tc>
          <w:tcPr>
            <w:tcW w:w="1019" w:type="dxa"/>
            <w:vAlign w:val="top"/>
          </w:tcPr>
          <w:p w14:paraId="74484C0B">
            <w:pPr>
              <w:spacing w:before="213" w:line="220" w:lineRule="auto"/>
              <w:ind w:left="22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8"/>
                <w:szCs w:val="28"/>
              </w:rPr>
              <w:t>单位</w:t>
            </w:r>
          </w:p>
        </w:tc>
        <w:tc>
          <w:tcPr>
            <w:tcW w:w="1489" w:type="dxa"/>
            <w:vAlign w:val="top"/>
          </w:tcPr>
          <w:p w14:paraId="382FEA0C">
            <w:pPr>
              <w:spacing w:before="209" w:line="218" w:lineRule="auto"/>
              <w:ind w:left="18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8"/>
                <w:szCs w:val="28"/>
              </w:rPr>
              <w:t>基准价格</w:t>
            </w:r>
          </w:p>
        </w:tc>
        <w:tc>
          <w:tcPr>
            <w:tcW w:w="884" w:type="dxa"/>
            <w:vAlign w:val="top"/>
          </w:tcPr>
          <w:p w14:paraId="2F1D2408">
            <w:pPr>
              <w:spacing w:before="204" w:line="221" w:lineRule="auto"/>
              <w:ind w:left="15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7EFCF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874" w:type="dxa"/>
            <w:vAlign w:val="top"/>
          </w:tcPr>
          <w:p w14:paraId="79946133">
            <w:pPr>
              <w:spacing w:before="283" w:line="222" w:lineRule="auto"/>
              <w:ind w:left="37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768" w:type="dxa"/>
            <w:vAlign w:val="top"/>
          </w:tcPr>
          <w:p w14:paraId="1FEB493A">
            <w:pPr>
              <w:spacing w:before="241" w:line="219" w:lineRule="auto"/>
              <w:ind w:left="65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</w:rPr>
              <w:t>大米</w:t>
            </w:r>
          </w:p>
        </w:tc>
        <w:tc>
          <w:tcPr>
            <w:tcW w:w="1418" w:type="dxa"/>
            <w:vAlign w:val="top"/>
          </w:tcPr>
          <w:p w14:paraId="442F98D1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28" w:type="dxa"/>
            <w:vAlign w:val="top"/>
          </w:tcPr>
          <w:p w14:paraId="66EFAE14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9" w:type="dxa"/>
            <w:vAlign w:val="top"/>
          </w:tcPr>
          <w:p w14:paraId="3BE160FE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 w14:paraId="4911EAA9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4" w:type="dxa"/>
            <w:vAlign w:val="top"/>
          </w:tcPr>
          <w:p w14:paraId="0D650A47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269B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74" w:type="dxa"/>
            <w:vAlign w:val="top"/>
          </w:tcPr>
          <w:p w14:paraId="51F395A4">
            <w:pPr>
              <w:spacing w:before="284" w:line="222" w:lineRule="auto"/>
              <w:ind w:left="37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768" w:type="dxa"/>
            <w:vAlign w:val="top"/>
          </w:tcPr>
          <w:p w14:paraId="340D0284">
            <w:pPr>
              <w:spacing w:before="233" w:line="219" w:lineRule="auto"/>
              <w:ind w:left="65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面粉</w:t>
            </w:r>
          </w:p>
        </w:tc>
        <w:tc>
          <w:tcPr>
            <w:tcW w:w="1418" w:type="dxa"/>
            <w:vAlign w:val="top"/>
          </w:tcPr>
          <w:p w14:paraId="45DD171B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28" w:type="dxa"/>
            <w:vAlign w:val="top"/>
          </w:tcPr>
          <w:p w14:paraId="1465E9C3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9" w:type="dxa"/>
            <w:vAlign w:val="top"/>
          </w:tcPr>
          <w:p w14:paraId="1E5481F1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 w14:paraId="378B9FD8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4" w:type="dxa"/>
            <w:vAlign w:val="top"/>
          </w:tcPr>
          <w:p w14:paraId="3726739B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9B7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874" w:type="dxa"/>
            <w:vAlign w:val="top"/>
          </w:tcPr>
          <w:p w14:paraId="1AB07593">
            <w:pPr>
              <w:spacing w:before="285" w:line="220" w:lineRule="auto"/>
              <w:ind w:left="37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768" w:type="dxa"/>
            <w:vAlign w:val="top"/>
          </w:tcPr>
          <w:p w14:paraId="1798F24B">
            <w:pPr>
              <w:spacing w:before="244" w:line="220" w:lineRule="auto"/>
              <w:ind w:left="54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</w:rPr>
              <w:t>食用油</w:t>
            </w:r>
          </w:p>
        </w:tc>
        <w:tc>
          <w:tcPr>
            <w:tcW w:w="1418" w:type="dxa"/>
            <w:vAlign w:val="top"/>
          </w:tcPr>
          <w:p w14:paraId="7EA31EF6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28" w:type="dxa"/>
            <w:vAlign w:val="top"/>
          </w:tcPr>
          <w:p w14:paraId="11264D49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9" w:type="dxa"/>
            <w:vAlign w:val="top"/>
          </w:tcPr>
          <w:p w14:paraId="75E9AA03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 w14:paraId="56345D21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4" w:type="dxa"/>
            <w:vAlign w:val="top"/>
          </w:tcPr>
          <w:p w14:paraId="635EAE2B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9D97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74" w:type="dxa"/>
            <w:vAlign w:val="top"/>
          </w:tcPr>
          <w:p w14:paraId="4652927D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68" w:type="dxa"/>
            <w:vAlign w:val="top"/>
          </w:tcPr>
          <w:p w14:paraId="2512B219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vAlign w:val="top"/>
          </w:tcPr>
          <w:p w14:paraId="4377536F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28" w:type="dxa"/>
            <w:vAlign w:val="top"/>
          </w:tcPr>
          <w:p w14:paraId="3F9EFFAD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9" w:type="dxa"/>
            <w:vAlign w:val="top"/>
          </w:tcPr>
          <w:p w14:paraId="75B97C97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 w14:paraId="73BECDE5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4" w:type="dxa"/>
            <w:vAlign w:val="top"/>
          </w:tcPr>
          <w:p w14:paraId="720495D5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9078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74" w:type="dxa"/>
            <w:vAlign w:val="top"/>
          </w:tcPr>
          <w:p w14:paraId="163A8F12">
            <w:pPr>
              <w:pStyle w:val="7"/>
              <w:spacing w:line="255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FFF3822">
            <w:pPr>
              <w:spacing w:before="72" w:line="188" w:lineRule="auto"/>
              <w:ind w:left="20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……</w:t>
            </w:r>
          </w:p>
        </w:tc>
        <w:tc>
          <w:tcPr>
            <w:tcW w:w="1768" w:type="dxa"/>
            <w:vAlign w:val="top"/>
          </w:tcPr>
          <w:p w14:paraId="7A26A002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vAlign w:val="top"/>
          </w:tcPr>
          <w:p w14:paraId="20FC991B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28" w:type="dxa"/>
            <w:vAlign w:val="top"/>
          </w:tcPr>
          <w:p w14:paraId="7AFC3F97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9" w:type="dxa"/>
            <w:vAlign w:val="top"/>
          </w:tcPr>
          <w:p w14:paraId="527EE57E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 w14:paraId="57ABC9FE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4" w:type="dxa"/>
            <w:vAlign w:val="top"/>
          </w:tcPr>
          <w:p w14:paraId="19B4969B">
            <w:pPr>
              <w:pStyle w:val="7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E07B1F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1.2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所有供应食材必须符合《食品安全国家标准》等国家、 地方相关质量标准，且满足以下要求：</w:t>
      </w:r>
    </w:p>
    <w:p w14:paraId="0C5941C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(1)米、面、油：符合对应食品安全国家标准，具备正规生产批 号、当批次产品质量检验合格证明；大米需提供镉、黄曲霉 毒素检测报告；</w:t>
      </w:r>
    </w:p>
    <w:p w14:paraId="1F2094D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(2)畜禽肉及制品：具备定点屠宰企业出具的动物检疫合格证明、 肉品品质检验合格证明；</w:t>
      </w:r>
    </w:p>
    <w:p w14:paraId="01D2C58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(3)蔬菜、水果：农药残留检测合格，保证新鲜、无腐烂变质；</w:t>
      </w:r>
    </w:p>
    <w:p w14:paraId="4A14B5F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(4)进口食材：需提供有效的入境货物检验检疫证明；</w:t>
      </w:r>
    </w:p>
    <w:p w14:paraId="0DCCC0C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(5)所有食材不得超过保质期，不得为来源不明、质量不合格产 品，转基因食材需明确标注。</w:t>
      </w:r>
    </w:p>
    <w:p w14:paraId="1BAF0F2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鼓励乙方供应本地无公害农产品、绿色食品、有机农产 品和地理标志农产品，同等条件下甲方优先选用乙方供应的上 述产品。</w:t>
      </w:r>
    </w:p>
    <w:p w14:paraId="246CD10D">
      <w:pPr>
        <w:spacing w:before="37" w:line="224" w:lineRule="auto"/>
        <w:ind w:left="68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第二条供货期限</w:t>
      </w:r>
    </w:p>
    <w:p w14:paraId="497AF28E">
      <w:pPr>
        <w:pStyle w:val="2"/>
        <w:tabs>
          <w:tab w:val="left" w:pos="510"/>
        </w:tabs>
        <w:spacing w:before="264" w:line="360" w:lineRule="auto"/>
        <w:ind w:left="559" w:leftChars="266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294640</wp:posOffset>
                </wp:positionV>
                <wp:extent cx="115570" cy="28130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B77329">
                            <w:pPr>
                              <w:spacing w:before="19"/>
                              <w:ind w:left="20"/>
                              <w:rPr>
                                <w:rFonts w:ascii="宋体" w:hAnsi="宋体" w:eastAsia="宋体" w:cs="宋体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9pt;margin-top:23.2pt;height:22.15pt;width:9.1pt;z-index:251659264;mso-width-relative:page;mso-height-relative:page;" filled="f" stroked="f" coordsize="21600,21600" o:gfxdata="UEsDBAoAAAAAAIdO4kAAAAAAAAAAAAAAAAAEAAAAZHJzL1BLAwQUAAAACACHTuJAz3wcqNYAAAAI&#10;AQAADwAAAGRycy9kb3ducmV2LnhtbE2Py07DMBBF90j8gzVI7KgdVAUa4lQIwQoJkYYFSyeeJlbj&#10;cYjdB3/PdEWXozO699xyffKjOOAcXSAN2UKBQOqCddRr+Gre7h5BxGTImjEQavjFCOvq+qo0hQ1H&#10;qvGwSb3gEIqF0TCkNBVSxm5Ab+IiTEjMtmH2JvE599LO5sjhfpT3SuXSG0fcMJgJXwbsdpu91/D8&#10;TfWr+/loP+tt7Zpmpeg932l9e5OpJxAJT+n/Gc76rA4VO7VhTzaKUcMqY/OkYZkvQZx5pnhby0A9&#10;gKxKeTmg+gNQSwMEFAAAAAgAh07iQNLsUwC4AQAAcQMAAA4AAABkcnMvZTJvRG9jLnhtbK1TzY7T&#10;MBC+I/EOlu/USVFhFTVdCVWLkBAgLTyA69iNJf/J4zbpC8AbcOLCnefqczB20i4slz1wccYz42++&#10;77Ozvh2tIUcZQXvX0npRUSKd8J12+5Z++Xz34oYSSNx13HgnW3qSQG83z5+th9DIpe+96WQkCOKg&#10;GUJL+5RCwxiIXloOCx+kw6Ly0fKE27hnXeQDolvDllX1ig0+diF6IQEwu52KdEaMTwH0Smkht14c&#10;rHRpQo3S8ISSoNcB6KawVUqK9FEpkImYlqLSVFYcgvEur2yz5s0+8tBrMVPgT6HwSJPl2uHQK9SW&#10;J04OUf8DZbWIHrxKC+Etm4QUR1BFXT3y5r7nQRYtaDWEq+nw/2DFh+OnSHSHL4ESxy1e+Pn7t/OP&#10;X+efX0md7RkCNNh1H7AvjW/8mFvnPGAyqx5VtPmLegjW0dzT1Vw5JiLyoXq1eo0VgaXlTf2yWmUU&#10;9nA4REhvpbckBy2NeHfFUn58D2lqvbTkWc7faWMwzxvj/kogZs6wzHximKM07saZ9s53J1Rj3jl0&#10;Mr+KSxAvwe4SHELU+x7pFM0FEm+i8J5fTb7qP/dl8MOfsvk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3wcqNYAAAAIAQAADwAAAAAAAAABACAAAAAiAAAAZHJzL2Rvd25yZXYueG1sUEsBAhQAFAAA&#10;AAgAh07iQNLsUwC4AQAAcQMAAA4AAAAAAAAAAQAgAAAAJQEAAGRycy9lMm9Eb2MueG1sUEsFBgAA&#10;AAAGAAYAWQEAAE8FAAAAAA=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B77329">
                      <w:pPr>
                        <w:spacing w:before="19"/>
                        <w:ind w:left="20"/>
                        <w:rPr>
                          <w:rFonts w:ascii="宋体" w:hAnsi="宋体" w:eastAsia="宋体" w:cs="宋体"/>
                          <w:sz w:val="31"/>
                          <w:szCs w:val="3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-18"/>
          <w:sz w:val="28"/>
          <w:szCs w:val="28"/>
          <w:u w:val="single" w:color="auto"/>
        </w:rPr>
        <w:t>本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合</w:t>
      </w:r>
      <w:r>
        <w:rPr>
          <w:rFonts w:hint="eastAsia" w:ascii="仿宋" w:hAnsi="仿宋" w:eastAsia="仿宋" w:cs="仿宋"/>
          <w:spacing w:val="-12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0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18"/>
          <w:sz w:val="28"/>
          <w:szCs w:val="28"/>
          <w:u w:val="single" w:color="auto"/>
        </w:rPr>
        <w:t>同</w:t>
      </w:r>
      <w:r>
        <w:rPr>
          <w:rFonts w:hint="eastAsia" w:ascii="仿宋" w:hAnsi="仿宋" w:eastAsia="仿宋" w:cs="仿宋"/>
          <w:spacing w:val="-143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1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供货期限：自</w:t>
      </w:r>
      <w:r>
        <w:rPr>
          <w:rFonts w:hint="eastAsia" w:ascii="仿宋" w:hAnsi="仿宋" w:eastAsia="仿宋" w:cs="仿宋"/>
          <w:spacing w:val="-1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8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-11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日起，至</w:t>
      </w:r>
      <w:r>
        <w:rPr>
          <w:rFonts w:hint="eastAsia" w:ascii="仿宋" w:hAnsi="仿宋" w:eastAsia="仿宋" w:cs="仿宋"/>
          <w:spacing w:val="-1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年</w:t>
      </w:r>
      <w:r>
        <w:rPr>
          <w:rFonts w:hint="eastAsia" w:ascii="仿宋" w:hAnsi="仿宋" w:eastAsia="仿宋" w:cs="仿宋"/>
          <w:color w:val="506060"/>
          <w:position w:val="-1"/>
          <w:sz w:val="28"/>
          <w:szCs w:val="28"/>
          <w:u w:val="single" w:color="000000"/>
        </w:rPr>
        <w:tab/>
      </w:r>
      <w:r>
        <w:rPr>
          <w:rFonts w:hint="eastAsia" w:ascii="仿宋" w:hAnsi="仿宋" w:eastAsia="仿宋" w:cs="仿宋"/>
          <w:color w:val="506060"/>
          <w:spacing w:val="-42"/>
          <w:position w:val="-1"/>
          <w:sz w:val="28"/>
          <w:szCs w:val="28"/>
        </w:rPr>
        <w:t>月</w:t>
      </w:r>
      <w:r>
        <w:rPr>
          <w:rFonts w:hint="eastAsia" w:ascii="仿宋" w:hAnsi="仿宋" w:eastAsia="仿宋" w:cs="仿宋"/>
          <w:color w:val="506060"/>
          <w:spacing w:val="-145"/>
          <w:position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506060"/>
          <w:spacing w:val="48"/>
          <w:position w:val="-1"/>
          <w:sz w:val="28"/>
          <w:szCs w:val="28"/>
          <w:u w:val="single" w:color="000000"/>
        </w:rPr>
        <w:t xml:space="preserve">   </w:t>
      </w:r>
      <w:r>
        <w:rPr>
          <w:rFonts w:hint="eastAsia" w:ascii="仿宋" w:hAnsi="仿宋" w:eastAsia="仿宋" w:cs="仿宋"/>
          <w:color w:val="506060"/>
          <w:spacing w:val="-114"/>
          <w:position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506060"/>
          <w:spacing w:val="-42"/>
          <w:sz w:val="28"/>
          <w:szCs w:val="28"/>
        </w:rPr>
        <w:t>日终</w:t>
      </w:r>
      <w:r>
        <w:rPr>
          <w:rFonts w:hint="eastAsia"/>
          <w:sz w:val="28"/>
          <w:szCs w:val="28"/>
          <w:lang w:val="en-US" w:eastAsia="zh-CN"/>
        </w:rPr>
        <w:t>说明：供货期遵照教育相关主管部门最新政策文件执行，政策更新后甲乙双方同步调整履约时间。</w:t>
      </w:r>
    </w:p>
    <w:p w14:paraId="69A9203F">
      <w:pPr>
        <w:pStyle w:val="2"/>
        <w:spacing w:before="211" w:line="189" w:lineRule="auto"/>
        <w:ind w:left="685"/>
        <w:rPr>
          <w:rFonts w:hint="eastAsia" w:ascii="仿宋" w:hAnsi="仿宋" w:eastAsia="仿宋" w:cs="仿宋"/>
          <w:sz w:val="28"/>
          <w:szCs w:val="28"/>
        </w:rPr>
      </w:pPr>
    </w:p>
    <w:p w14:paraId="74E9A43E">
      <w:pPr>
        <w:spacing w:line="210" w:lineRule="exact"/>
        <w:rPr>
          <w:rFonts w:hint="eastAsia" w:ascii="仿宋" w:hAnsi="仿宋" w:eastAsia="仿宋" w:cs="仿宋"/>
          <w:sz w:val="28"/>
          <w:szCs w:val="28"/>
        </w:rPr>
      </w:pPr>
    </w:p>
    <w:p w14:paraId="68D9B454">
      <w:pPr>
        <w:spacing w:line="210" w:lineRule="exact"/>
        <w:rPr>
          <w:rFonts w:hint="eastAsia" w:ascii="仿宋" w:hAnsi="仿宋" w:eastAsia="仿宋" w:cs="仿宋"/>
          <w:sz w:val="28"/>
          <w:szCs w:val="28"/>
        </w:rPr>
        <w:sectPr>
          <w:footerReference r:id="rId6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0BAF909F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第三条供货方式与配送要求</w:t>
      </w:r>
    </w:p>
    <w:p w14:paraId="6E29381F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3.1 甲方提前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个工作日以书面形式或订单系统向乙方 下达供货订单，明确约定食材品种、数量、配送时间。</w:t>
      </w:r>
    </w:p>
    <w:p w14:paraId="0FEA93D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3.2 乙方应当按照订单要求出具配送单，在甲方指定的配送</w:t>
      </w:r>
    </w:p>
    <w:p w14:paraId="1658F3F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时间配送至甲方食堂指定验收区域：</w:t>
      </w:r>
    </w:p>
    <w:p w14:paraId="3772CB2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配送时间：□每日      点前    □分时段：             </w:t>
      </w:r>
    </w:p>
    <w:p w14:paraId="0405D9E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配送地点：                                   </w:t>
      </w:r>
    </w:p>
    <w:p w14:paraId="5C059FD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3.3 配送人员要求：</w:t>
      </w:r>
    </w:p>
    <w:p w14:paraId="12C0950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(1)配送人员应相对固定，且持有有效健康证明；</w:t>
      </w:r>
    </w:p>
    <w:p w14:paraId="2A2888A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(2)配送期间配送人员须着工作服、佩戴口罩与手套。</w:t>
      </w:r>
    </w:p>
    <w:p w14:paraId="334DEC5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3.4 配送车辆及设施设备要求：</w:t>
      </w:r>
    </w:p>
    <w:p w14:paraId="59F94AD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(1)运输车辆需保持封闭、清洁，无积水、油污、异味，不得混 放杂物，严禁使用无封闭设施的敞篷车辆配送食材；</w:t>
      </w:r>
    </w:p>
    <w:p w14:paraId="7BD85C61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(2)配送车辆须具备符合要求的保温制冷设备；</w:t>
      </w:r>
    </w:p>
    <w:p w14:paraId="512497E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(3)配送车辆储运容器需定期清洗消毒。</w:t>
      </w:r>
    </w:p>
    <w:p w14:paraId="2B5DCD0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3.5 配送过程应当符合食品储运规范：</w:t>
      </w:r>
    </w:p>
    <w:p w14:paraId="5C0FD1B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(1)冷链食材需全程保持0-4℃冷藏或≤-18℃冷冻；</w:t>
      </w:r>
    </w:p>
    <w:p w14:paraId="599BC0A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(2)不同类别食材需分装运输，避免交叉污染。</w:t>
      </w:r>
    </w:p>
    <w:p w14:paraId="1906B69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3.6 乙方负责食材装卸，承担运输过程中食材损耗与全部安 全责任。</w:t>
      </w:r>
    </w:p>
    <w:p w14:paraId="035BD3F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第四条验收与退换货</w:t>
      </w:r>
    </w:p>
    <w:p w14:paraId="23FD320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4.1 甲方执行双人(多人)验收制度，验收内容包括：</w:t>
      </w:r>
    </w:p>
    <w:p w14:paraId="776B6F4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(1)核对食材名称、品种、规格、数量，确保与订单要求一致，</w:t>
      </w:r>
    </w:p>
    <w:p w14:paraId="3027BC5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做到订货单、配送单与配送食材“三个完全一致”。</w:t>
      </w:r>
    </w:p>
    <w:p w14:paraId="2A2BA81F">
      <w:pPr>
        <w:spacing w:line="221" w:lineRule="auto"/>
        <w:rPr>
          <w:rFonts w:hint="eastAsia" w:ascii="仿宋" w:hAnsi="仿宋" w:eastAsia="仿宋" w:cs="仿宋"/>
          <w:sz w:val="28"/>
          <w:szCs w:val="28"/>
        </w:rPr>
        <w:sectPr>
          <w:footerReference r:id="rId7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5C267D8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(2)查验并留存乙方随货提供的本批次食材检验合格证明、检疫 证明等资质文件；</w:t>
      </w:r>
    </w:p>
    <w:p w14:paraId="196FE6B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(3)核对预包装食材的标签标识、生产日期、保质期、生产厂家 信息、食品生产许可证编号、储存条件等内容，确认食材未 超过保质期，标签信息完整规范。</w:t>
      </w:r>
    </w:p>
    <w:p w14:paraId="591880D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(4)检查食材感官性状，具备条件的可对蔬菜农残等项目开展快 速检测：</w:t>
      </w:r>
    </w:p>
    <w:p w14:paraId="470063B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①新鲜果蔬：无腐烂、变质、虫蛀、异物，无异常变色、异味， 形态饱满新鲜；</w:t>
      </w:r>
    </w:p>
    <w:p w14:paraId="729D9DA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②畜禽肉：色泽正常，无瘀血、病变、异味，无注水变质情况；</w:t>
      </w:r>
    </w:p>
    <w:p w14:paraId="5E5A3F8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③水产品：体表有光泽、鳃色鲜红、无腥臭味，状态新鲜；</w:t>
      </w:r>
    </w:p>
    <w:p w14:paraId="3A22B45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④预包装食材：包装无破损、无胀袋、无变形，无泄漏霉变情况。</w:t>
      </w:r>
    </w:p>
    <w:p w14:paraId="3302843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(5)核查冷链食材温度，冷藏食材表面温度与标签标识要求温度 的偏差不超过+3℃,冷冻大宗食材表面温度不高于-9℃。</w:t>
      </w:r>
    </w:p>
    <w:p w14:paraId="30D1B5A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4.2  验收合格后，甲乙双方验收人员共同签字确认，留存验 收记录。</w:t>
      </w:r>
    </w:p>
    <w:p w14:paraId="2F4A65B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4.3 验收时，甲方若发现以下情形有权拒收并追究乙方相应 责任，乙方应当在甲方通知后     小时内完成退换货，由此产 生的所有费用由乙方承担：</w:t>
      </w:r>
    </w:p>
    <w:p w14:paraId="5A8A5AD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(1)配送人员无有效健康证，运输车辆卫生状况不达标、不符合 食材运输条件要求，食材装载不合规存在交叉污染风险；</w:t>
      </w:r>
    </w:p>
    <w:p w14:paraId="2368000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(2)错配、少配或未按订单约定的品种、规格、数量配送；</w:t>
      </w:r>
    </w:p>
    <w:p w14:paraId="0F1E056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(3)配送食材无有效合格文件或合格文件与对应批次不一致，蔬 菜水果农残超标；</w:t>
      </w:r>
    </w:p>
    <w:p w14:paraId="74BC790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(4)配送食材标签标识信息不清晰不完整、超过保质期，进口食 材未提供入境货物检验检疫证明，转基因食材未明确标注；</w:t>
      </w:r>
    </w:p>
    <w:p w14:paraId="728F587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( 5 ) 配 送 食 材 感 官 性 状 发 生 异 常 ；</w:t>
      </w:r>
    </w:p>
    <w:p w14:paraId="59D9EC11">
      <w:pPr>
        <w:spacing w:line="360" w:lineRule="auto"/>
        <w:rPr>
          <w:rFonts w:hint="eastAsia" w:ascii="仿宋" w:hAnsi="仿宋" w:eastAsia="仿宋" w:cs="仿宋"/>
          <w:sz w:val="28"/>
          <w:szCs w:val="28"/>
        </w:rPr>
        <w:sectPr>
          <w:footerReference r:id="rId8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248BA8D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(6)冷链断链，冷藏、冷冻食材表面温度不达标；</w:t>
      </w:r>
    </w:p>
    <w:p w14:paraId="58AD7031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(7)配送食材重量短缺超出合理误差范围。</w:t>
      </w:r>
    </w:p>
    <w:p w14:paraId="5AF8B32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第五条价格与结算</w:t>
      </w:r>
    </w:p>
    <w:p w14:paraId="020BFCD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5.1 本合同食材价格以本合同第1.1条《食材供应清单》的 中标/成交基准价为准，价格浮动遵循以下约定：当市场价格浮 动幅度超过±10% (甲乙双方议定) 时，双方可协商调整价格， 调整结果以补充协议形式确认，单次调整后的价格执行周期不 短于1个月。</w:t>
      </w:r>
    </w:p>
    <w:p w14:paraId="623DB22D">
      <w:pPr>
        <w:pStyle w:val="2"/>
        <w:spacing w:before="148" w:line="222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5"/>
          <w:sz w:val="28"/>
          <w:szCs w:val="28"/>
        </w:rPr>
        <w:t>5.2 结算方式：</w:t>
      </w:r>
    </w:p>
    <w:p w14:paraId="04BE3159">
      <w:pPr>
        <w:pStyle w:val="2"/>
        <w:spacing w:before="159" w:line="222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□按时间结算：每</w:t>
      </w:r>
      <w:r>
        <w:rPr>
          <w:rFonts w:hint="eastAsia" w:ascii="仿宋" w:hAnsi="仿宋" w:eastAsia="仿宋" w:cs="仿宋"/>
          <w:spacing w:val="-16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30"/>
          <w:sz w:val="28"/>
          <w:szCs w:val="28"/>
          <w:u w:val="single" w:color="auto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position w:val="1"/>
          <w:sz w:val="28"/>
          <w:szCs w:val="28"/>
        </w:rPr>
        <w:t>(时间)结算一次</w:t>
      </w:r>
    </w:p>
    <w:p w14:paraId="031E95DA">
      <w:pPr>
        <w:pStyle w:val="2"/>
        <w:spacing w:before="142" w:line="227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□</w:t>
      </w:r>
      <w:r>
        <w:rPr>
          <w:rFonts w:hint="eastAsia" w:ascii="仿宋" w:hAnsi="仿宋" w:eastAsia="仿宋" w:cs="仿宋"/>
          <w:spacing w:val="1"/>
          <w:sz w:val="28"/>
          <w:szCs w:val="28"/>
        </w:rPr>
        <w:t>按批次结算：每</w:t>
      </w:r>
      <w:r>
        <w:rPr>
          <w:rFonts w:hint="eastAsia"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(批次)结算一次</w:t>
      </w:r>
    </w:p>
    <w:p w14:paraId="4A6D0E87">
      <w:pPr>
        <w:pStyle w:val="2"/>
        <w:spacing w:before="173" w:line="327" w:lineRule="auto"/>
        <w:ind w:left="23" w:firstLine="6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甲方收到乙方开具的合规发票后，于</w:t>
      </w:r>
      <w:r>
        <w:rPr>
          <w:rFonts w:hint="eastAsia" w:ascii="仿宋" w:hAnsi="仿宋" w:eastAsia="仿宋" w:cs="仿宋"/>
          <w:spacing w:val="-3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6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个工作日内通过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对公账户支付货款，不得拖欠。</w:t>
      </w:r>
    </w:p>
    <w:p w14:paraId="7A709987">
      <w:pPr>
        <w:pStyle w:val="2"/>
        <w:spacing w:before="1" w:line="221" w:lineRule="auto"/>
        <w:ind w:left="7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3"/>
          <w:sz w:val="28"/>
          <w:szCs w:val="28"/>
        </w:rPr>
        <w:t>乙方对公账户信息：</w:t>
      </w:r>
    </w:p>
    <w:p w14:paraId="5062E2BF">
      <w:pPr>
        <w:pStyle w:val="2"/>
        <w:spacing w:before="152" w:line="221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8"/>
          <w:sz w:val="28"/>
          <w:szCs w:val="28"/>
        </w:rPr>
        <w:t>开户行：</w:t>
      </w:r>
      <w:r>
        <w:rPr>
          <w:rFonts w:hint="eastAsia" w:ascii="仿宋" w:hAnsi="仿宋" w:eastAsia="仿宋" w:cs="仿宋"/>
          <w:spacing w:val="-10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</w:t>
      </w:r>
    </w:p>
    <w:p w14:paraId="2251C33A">
      <w:pPr>
        <w:pStyle w:val="2"/>
        <w:spacing w:before="159" w:line="223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1"/>
          <w:sz w:val="28"/>
          <w:szCs w:val="28"/>
        </w:rPr>
        <w:t>账户名：</w:t>
      </w:r>
      <w:r>
        <w:rPr>
          <w:rFonts w:hint="eastAsia" w:ascii="仿宋" w:hAnsi="仿宋" w:eastAsia="仿宋" w:cs="仿宋"/>
          <w:spacing w:val="-13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</w:t>
      </w:r>
    </w:p>
    <w:p w14:paraId="486AD7FF">
      <w:pPr>
        <w:pStyle w:val="2"/>
        <w:spacing w:before="152" w:line="224" w:lineRule="auto"/>
        <w:ind w:left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6"/>
          <w:sz w:val="28"/>
          <w:szCs w:val="28"/>
        </w:rPr>
        <w:t>账</w:t>
      </w:r>
      <w:r>
        <w:rPr>
          <w:rFonts w:hint="eastAsia" w:ascii="仿宋" w:hAnsi="仿宋" w:eastAsia="仿宋" w:cs="仿宋"/>
          <w:spacing w:val="14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</w:rPr>
        <w:t>号：</w:t>
      </w:r>
      <w:r>
        <w:rPr>
          <w:rFonts w:hint="eastAsia" w:ascii="仿宋" w:hAnsi="仿宋" w:eastAsia="仿宋" w:cs="仿宋"/>
          <w:spacing w:val="-9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</w:t>
      </w:r>
    </w:p>
    <w:p w14:paraId="3B3E94A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第六条双方权利与义务</w:t>
      </w:r>
    </w:p>
    <w:p w14:paraId="064C18C1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6.1 甲方权利义务</w:t>
      </w:r>
    </w:p>
    <w:p w14:paraId="09DC2BD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(1)按时下达订单，按时支付货款；</w:t>
      </w:r>
    </w:p>
    <w:p w14:paraId="0296046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(2)按照本合同约定对食材进行验收，对不合格食材依规处置；</w:t>
      </w:r>
    </w:p>
    <w:p w14:paraId="76B7120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(3)对乙方供货质量、服务进行监督评价，有权提出整改要求。</w:t>
      </w:r>
    </w:p>
    <w:p w14:paraId="784400F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6.2 乙方权利义务</w:t>
      </w:r>
    </w:p>
    <w:p w14:paraId="2F49E46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(1)严格落实食品安全主体责任，确保供应食材符合本合同约定 的质量标准；</w:t>
      </w:r>
    </w:p>
    <w:p w14:paraId="4D0E7B14">
      <w:pPr>
        <w:spacing w:line="210" w:lineRule="auto"/>
        <w:rPr>
          <w:rFonts w:hint="eastAsia" w:ascii="仿宋" w:hAnsi="仿宋" w:eastAsia="仿宋" w:cs="仿宋"/>
          <w:sz w:val="28"/>
          <w:szCs w:val="28"/>
        </w:rPr>
        <w:sectPr>
          <w:footerReference r:id="rId9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1B36840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(2)保持供货稳定，不得擅自更换供应品种、降低质量标准，因 不可抗力无法供货需提前3天告知甲方，并经甲方同意后方 可调整供货安排；</w:t>
      </w:r>
    </w:p>
    <w:p w14:paraId="6F858F0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(3)建立食材溯源台账，配合甲方、监管部门开展检查抽检，按 要求提供相关资质、检验证明材料。</w:t>
      </w:r>
    </w:p>
    <w:p w14:paraId="5FA72D75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第七条违约责任</w:t>
      </w:r>
    </w:p>
    <w:p w14:paraId="53131F7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7.1 乙方供应食材不合格，或未按约定时间配送，每次扣除 当批次货款的5% (由甲乙双方议定) 作为违约金。</w:t>
      </w:r>
    </w:p>
    <w:p w14:paraId="608B459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7.2 乙方累计出现3次(由甲乙双方议定)不合格食材供应 或逾期配送情形，甲方有权单方解除本合同并将乙方列入采购 黑名单。</w:t>
      </w:r>
    </w:p>
    <w:p w14:paraId="40A2DDE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7.3   乙方供应食材若出现不符合法律法规的严重质量问题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(如掺杂掺假、假冒伪劣、疑似病死猪肉等),甲方有权向市场 监管等有关部门报告，同时单方解除本合同并将乙方列入采购 黑名单。</w:t>
      </w:r>
    </w:p>
    <w:p w14:paraId="1BCCE80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7.4乙方供应不合格食材造成食品安全事故的，乙方承担全 部法律责任和经济赔偿责任，甲方有权立即解除合同，并依法 追究乙方责任。</w:t>
      </w:r>
    </w:p>
    <w:p w14:paraId="72D9103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7.5 甲方未按约定支付货款，每逾期1日按照应付未付金额 的0.1%(由甲乙双方议定)向乙方支付违约金。</w:t>
      </w:r>
    </w:p>
    <w:p w14:paraId="4FBC294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第八条合同变更与解除</w:t>
      </w:r>
    </w:p>
    <w:p w14:paraId="34F7BFC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8.1 双方协商一致可以变更、解除本合同，变更内容需以书 面补充协议确认。</w:t>
      </w:r>
    </w:p>
    <w:p w14:paraId="39921EA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8.2  一方出现严重违约行为，经催告后仍不改正的，另一方 有权单夜解除合同。</w:t>
      </w:r>
    </w:p>
    <w:p w14:paraId="7C871517">
      <w:pPr>
        <w:spacing w:line="360" w:lineRule="auto"/>
        <w:rPr>
          <w:rFonts w:hint="eastAsia" w:ascii="仿宋" w:hAnsi="仿宋" w:eastAsia="仿宋" w:cs="仿宋"/>
          <w:sz w:val="28"/>
          <w:szCs w:val="28"/>
        </w:rPr>
        <w:sectPr>
          <w:footerReference r:id="rId10" w:type="default"/>
          <w:pgSz w:w="11910" w:h="16840"/>
          <w:pgMar w:top="1417" w:right="1417" w:bottom="1417" w:left="1417" w:header="0" w:footer="1491" w:gutter="0"/>
          <w:paperSrc/>
          <w:cols w:space="0" w:num="1"/>
          <w:rtlGutter w:val="0"/>
          <w:docGrid w:linePitch="0" w:charSpace="0"/>
        </w:sectPr>
      </w:pPr>
    </w:p>
    <w:p w14:paraId="11F2BA3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第九条争议解决</w:t>
      </w:r>
    </w:p>
    <w:p w14:paraId="11D3FAE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因本合同产生的争议，双方先协商解决；协商不成的，可 向甲方所在地人民法院提起诉讼。</w:t>
      </w:r>
    </w:p>
    <w:p w14:paraId="0E01933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第十条其他约定</w:t>
      </w:r>
    </w:p>
    <w:p w14:paraId="7B987075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10.1 本合同未尽事宜，双方可签订补充协议，补充协议与本合同具有同等法律效力。</w:t>
      </w:r>
    </w:p>
    <w:p w14:paraId="0870AAB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10.2 本合同附件为本合同组成部分，与本合同具有同等法律效力。附件：乙方资质证明文件(复印件加盖公章)</w:t>
      </w:r>
    </w:p>
    <w:p w14:paraId="3B121EE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10.3 本合同一式三份， 甲方执两份，乙方执一份，自双方 签字盖章之日起生效。</w:t>
      </w:r>
    </w:p>
    <w:p w14:paraId="47774805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35AA6E79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14CEF855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53DA9565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0EA06BB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甲方(盖章):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乙方(盖章):</w:t>
      </w:r>
    </w:p>
    <w:p w14:paraId="4D9AD08A">
      <w:pPr>
        <w:rPr>
          <w:rFonts w:hint="eastAsia" w:ascii="仿宋" w:hAnsi="仿宋" w:eastAsia="仿宋" w:cs="仿宋"/>
          <w:sz w:val="28"/>
          <w:szCs w:val="28"/>
        </w:rPr>
      </w:pPr>
    </w:p>
    <w:p w14:paraId="338B0B6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法定代表人或授权代表(签字):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法定代表人或授权代表(签字):</w:t>
      </w:r>
    </w:p>
    <w:p w14:paraId="5A66248B">
      <w:pPr>
        <w:rPr>
          <w:rFonts w:hint="eastAsia" w:ascii="仿宋" w:hAnsi="仿宋" w:eastAsia="仿宋" w:cs="仿宋"/>
          <w:sz w:val="28"/>
          <w:szCs w:val="28"/>
        </w:rPr>
      </w:pPr>
    </w:p>
    <w:p w14:paraId="0E9A1B6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签订日期：    年  月  日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签订日期：    年  月  日</w:t>
      </w:r>
    </w:p>
    <w:p w14:paraId="52DB4703">
      <w:pPr>
        <w:rPr>
          <w:rFonts w:hint="eastAsia" w:ascii="仿宋" w:hAnsi="仿宋" w:eastAsia="仿宋" w:cs="仿宋"/>
          <w:sz w:val="28"/>
          <w:szCs w:val="28"/>
        </w:rPr>
      </w:pPr>
    </w:p>
    <w:sectPr>
      <w:footerReference r:id="rId11" w:type="default"/>
      <w:pgSz w:w="11910" w:h="16840"/>
      <w:pgMar w:top="1417" w:right="1417" w:bottom="1417" w:left="1417" w:header="0" w:footer="1491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19FCB">
    <w:pPr>
      <w:spacing w:line="231" w:lineRule="auto"/>
      <w:ind w:left="7373"/>
      <w:rPr>
        <w:rFonts w:ascii="宋体" w:hAnsi="宋体" w:eastAsia="宋体" w:cs="宋体"/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FC197"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C78DD">
    <w:pPr>
      <w:spacing w:before="1" w:line="231" w:lineRule="auto"/>
      <w:ind w:left="7430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color w:val="506060"/>
        <w:spacing w:val="-3"/>
        <w:sz w:val="24"/>
        <w:szCs w:val="24"/>
      </w:rPr>
      <w:t>—9—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9D732">
    <w:pPr>
      <w:spacing w:line="168" w:lineRule="auto"/>
      <w:ind w:left="539"/>
      <w:rPr>
        <w:rFonts w:ascii="Times New Roman" w:hAnsi="Times New Roman" w:eastAsia="Times New Roman" w:cs="Times New Roman"/>
        <w:sz w:val="16"/>
        <w:szCs w:val="16"/>
      </w:rPr>
    </w:pPr>
    <w:r>
      <w:rPr>
        <w:rFonts w:ascii="宋体" w:hAnsi="宋体" w:eastAsia="宋体" w:cs="宋体"/>
        <w:spacing w:val="-4"/>
        <w:sz w:val="16"/>
        <w:szCs w:val="16"/>
      </w:rPr>
      <w:t xml:space="preserve">—   </w:t>
    </w:r>
    <w:r>
      <w:rPr>
        <w:rFonts w:ascii="Times New Roman" w:hAnsi="Times New Roman" w:eastAsia="Times New Roman" w:cs="Times New Roman"/>
        <w:spacing w:val="-4"/>
        <w:sz w:val="16"/>
        <w:szCs w:val="16"/>
      </w:rPr>
      <w:t>10—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9CD21">
    <w:pPr>
      <w:spacing w:before="1" w:line="232" w:lineRule="auto"/>
      <w:ind w:left="7433"/>
      <w:rPr>
        <w:rFonts w:ascii="宋体" w:hAnsi="宋体" w:eastAsia="宋体" w:cs="宋体"/>
        <w:sz w:val="23"/>
        <w:szCs w:val="23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0991E">
    <w:pPr>
      <w:spacing w:line="14" w:lineRule="auto"/>
      <w:rPr>
        <w:rFonts w:ascii="Arial"/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B7242">
    <w:pPr>
      <w:spacing w:line="231" w:lineRule="auto"/>
      <w:ind w:left="7363"/>
      <w:rPr>
        <w:rFonts w:ascii="宋体" w:hAnsi="宋体" w:eastAsia="宋体" w:cs="宋体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63C21"/>
    <w:rsid w:val="59F6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2026-07-30T09:30:00Z</dcterms:created>
  <dc:creator>WPS_1730446345</dc:creator>
  <cp:lastModifiedBy>WPS_1730446345</cp:lastModifiedBy>
  <dcterms:modified xsi:type="dcterms:W3CDTF">2026-07-30T09:42:17Z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9F133079E2C54C708E11B5831F5A8726_11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