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版本号：HZJ2026-CS-00220260704001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三原县火车站小区等9个老旧小区改造(小区内配套基础设施)项目-设计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HZJ2026-CS-002</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三原县火车站小区等9个老旧小区改造(小区内配套基础设施)项目-设计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HZJ2026-CS-002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三原县火车站小区等9个老旧小区改造(小区内配套基础设施)项目-设计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火车站小区等9个老旧小区改造(小区内配套基础设施)项目，项目选址位于三原县城区火车站小区、工行家属院2区、啤酒厂小区、汽标小气(旧楼)、百货公司、外贸小区、工会小区、房管所小区、老电力局小区;本次改造小区共9个;涉及改造户数1036户。主要对小区内配套基础设施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采购包1（三原县火车站小区等9个老旧小区改造(小区内配套基础设施)项目-设计）：属于专门面向中小企业采购。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资格证明：具备建设行政部门核发的工程设计建筑行业资质乙级及以上资质或工程设计建筑行业(建筑工程)专业资质乙级及以上资质，，拟派项目负责人须具备(建筑工程相关专业)高级及以上技术职称或一级注册建筑师，提供开标截止时间前6个月内至少一个月供应商为其缴纳的社会保险证明材料（五险一金提供一项即可），且无不良记录；</w:t>
      </w:r>
    </w:p>
    <w:p>
      <w:pPr>
        <w:pStyle w:val="null3"/>
      </w:pPr>
      <w:r>
        <w:rPr>
          <w:rFonts w:ascii="仿宋_GB2312" w:hAnsi="仿宋_GB2312" w:cs="仿宋_GB2312" w:eastAsia="仿宋_GB2312"/>
        </w:rPr>
        <w:t>3、法定代表人授权委托书：法定代表人或负责人参加投标时，提供本人身份证，并与营业执照中法定代表人或负责人信息相符；授权代表参加投标时，提供授权书和被授权人身份证；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4、财务状况报告：提供2024年度或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5、税收缴纳证明：提供开标截止时间前6个月内至少已缴纳1个月的完税证明，完税证明上应有代收机构或税务机关的公章或业务专用章。依法免税或新成立的供应商应提供相关文件证明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6、社会保障资金缴纳证明：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7、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9、重大违法声明：供应商参加采购活动近3年内经营活动中没有重大违法记录声明，以及未被列入失信被执行人、重大税收违法失信主体、政府采购严重违法失信行为记录名单的书面声明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采购包1：407,200.00元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知识产权归采购方所有，双方共同承担保密义务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火车站小区等9个老旧小区改造(小区内配套基础设施)项目，项目选址位于三原县城区火车站小区、工行家属院2区、啤酒厂小区、汽标小气(旧楼)、百货公司、外贸小区、工会小区、房管所小区、老电力局小区;本次改造小区共9个;涉及改造户数1036户。主要对小区内配套基础设施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407,200.00</w:t>
      </w:r>
    </w:p>
    <w:p>
      <w:pPr>
        <w:pStyle w:val="null3"/>
      </w:pPr>
      <w:r>
        <w:rPr>
          <w:rFonts w:ascii="仿宋_GB2312" w:hAnsi="仿宋_GB2312" w:cs="仿宋_GB2312" w:eastAsia="仿宋_GB2312"/>
        </w:rPr>
        <w:t>采购包最高限价（元）: 407,200.00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三原县火车站小区等9个老旧小区改造(小区内配套基础设施)项目-设计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标的名称：三原县火车站小区等9个老旧小区改造(小区内配套基础设施)项目-设计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2"/>
            </w:pPr>
            <w:r>
              <w:rPr>
                <w:rFonts w:ascii="仿宋_GB2312" w:hAnsi="仿宋_GB2312" w:cs="仿宋_GB2312" w:eastAsia="仿宋_GB2312"/>
                <w:sz w:val="28"/>
                <w:b/>
              </w:rPr>
              <w:t>一、基础设施适配性技术性能分析</w:t>
            </w:r>
          </w:p>
          <w:p>
            <w:pPr>
              <w:pStyle w:val="null3"/>
            </w:pPr>
            <w:r>
              <w:rPr>
                <w:rFonts w:ascii="仿宋_GB2312" w:hAnsi="仿宋_GB2312" w:cs="仿宋_GB2312" w:eastAsia="仿宋_GB2312"/>
              </w:rPr>
              <w:t>本次小区配套基础设施改造技术标准完全适配城区老旧小区原有建筑布局与市政接驳体系，改造施工遵循原有小区地块规划格局、建筑排布及管线走向特点，杜绝改造工程与原有建筑结构、地下管线、小区道路体系产生冲突。改造所用各类配套设施设备、管材构件、铺装材料均适配北方城区住宅居住环境，可适配日常居住使用、季节气候更替带来的使用损耗，兼容老旧小区原有市政接口规范，实现新旧设施无缝衔接。整体改造技术参数兼顾小区原有建设基底条件，不破坏原有建筑主体结构与小区整体格局，同时补齐原有基础设施适配性不足的短板，保障改造后整套基础设施系统稳定兼容、顺畅运行。</w:t>
            </w:r>
          </w:p>
          <w:p>
            <w:pPr>
              <w:pStyle w:val="null3"/>
              <w:outlineLvl w:val="2"/>
            </w:pPr>
            <w:r>
              <w:rPr>
                <w:rFonts w:ascii="仿宋_GB2312" w:hAnsi="仿宋_GB2312" w:cs="仿宋_GB2312" w:eastAsia="仿宋_GB2312"/>
                <w:sz w:val="28"/>
                <w:b/>
              </w:rPr>
              <w:t>二、人居功能实用性技术性能分析</w:t>
            </w:r>
          </w:p>
          <w:p>
            <w:pPr>
              <w:pStyle w:val="null3"/>
            </w:pPr>
            <w:r>
              <w:rPr>
                <w:rFonts w:ascii="仿宋_GB2312" w:hAnsi="仿宋_GB2312" w:cs="仿宋_GB2312" w:eastAsia="仿宋_GB2312"/>
              </w:rPr>
              <w:t>本次基础设施改造的各项性能指标均以提升居民日常居住实用功能为核心，全面对标城镇老旧小区人居环境改造的功能标准。改造后的小区配套基础设施可充分满足居民日常通行、基础生活配套、公共区域运维等常态化使用需求，解决原有设施功能退化、配套缺失、使用不便的问题。道路、管网、公共照明、场地铺装等基础配套改造，优化了小区公共空间的使用功能，兼顾日常便民使用与应急通行、基础运维的双重需求，适配全年龄段居民居住使用场景。同时，改造技术参数贴合城区居民生活作息与使用习惯，设施运行操作简便、维护便捷，大幅提升小区整体居住实用性与便民性。</w:t>
            </w:r>
          </w:p>
          <w:p>
            <w:pPr>
              <w:pStyle w:val="null3"/>
              <w:outlineLvl w:val="2"/>
            </w:pPr>
            <w:r>
              <w:rPr>
                <w:rFonts w:ascii="仿宋_GB2312" w:hAnsi="仿宋_GB2312" w:cs="仿宋_GB2312" w:eastAsia="仿宋_GB2312"/>
                <w:sz w:val="28"/>
                <w:b/>
              </w:rPr>
              <w:t>三、工程耐久稳定性技术性能分析</w:t>
            </w:r>
          </w:p>
          <w:p>
            <w:pPr>
              <w:pStyle w:val="null3"/>
            </w:pPr>
            <w:r>
              <w:rPr>
                <w:rFonts w:ascii="仿宋_GB2312" w:hAnsi="仿宋_GB2312" w:cs="仿宋_GB2312" w:eastAsia="仿宋_GB2312"/>
              </w:rPr>
              <w:t>项目改造所采用的全部基础设施材料、施工工艺及工程技术指标，均符合城镇老旧小区改造工程质量验收规范，具备良好的抗损耗、抗老化、抗腐蚀性能，适配城区日常温差变化、风雨侵蚀等自然环境影响。改造后的管网系统、道路铺装、公共配套设施等核心工程内容，结构稳定性强，运行故障率低，可长期保持稳定的使用状态，有效规避老旧设施频繁破损、渗漏、失效等常见问题。整体工程兼顾短期改造提质与长期运维耐用的核心要求，技术性能贴合小区长效居住使用的运维标准，降低后期养护维修成本，保障小区基础设施长期安全、稳定、长效运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其他，提交正式成果后，达到付款条件起30个工作日内，支付合同总金额的80.0%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其他，竣工验收后，达到付款条件起30个工作日内，支付合同总金额的20.0%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在履行过程中发生的与之有关的任何争议，双方友好协商解决，协商不成的，由采购人所在地仲裁机构裁决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具备建设行政部门核发的工程设计建筑行业资质乙级及以上资质或工程设计建筑行业(建筑工程)专业资质乙级及以上资质，，拟派项目负责人须具备(建筑工程相关专业)高级及以上技术职称或一级注册建筑师，提供开标截止时间前6个月内至少一个月供应商为其缴纳的社会保险证明材料（五险一金提供一项即可），且无不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提供开标截止时间前6个月内至少已缴纳1个月的完税证明，完税证明上应有代收机构或税务机关的公章或业务专用章。依法免税或新成立的供应商应提供相关文件证明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针对本项目的理解，内容包括但不限于①项目背景与建设意义认知②项目核心建设重点认知③项目核心功能定位认知④项目整体实施认知等。方案内容详细完整、针对性强、可行性高，符合项目实际要求。 每项满分1分，缺项不得分，每项内容存在 缺陷，扣0.5分。缺陷是指内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针对本项目的重难点分析，包括①重点难点识别全面性②应对措施针对性③技术衔接与兼容性问题④建议可行性等。方案内容详细完整、针对性强、可行性高，符合项目实际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针对本项目的实施方案，包括①设计目标定位②现状调研③功能布局规划④建筑风貌塑造⑤基础设施更新升级⑥绿色环保⑦可持续发展。方案内容详细完整、针对性强、可行性高，符合项目实际要求。 每项满分1分，缺项不得分 , 每项内容存在缺陷，扣0.5分。缺陷是指内容不合理、虽有内容但不完善、内容表述前后不一致、套用其他项目方案或与项目需求不匹配及其他不利于项目实施的任意一种情形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设计质量控制的保证措施</w:t>
            </w:r>
          </w:p>
        </w:tc>
        <w:tc>
          <w:tcPr>
            <w:tcW w:type="dxa" w:w="2492"/>
          </w:tcPr>
          <w:p>
            <w:pPr>
              <w:pStyle w:val="null3"/>
            </w:pPr>
            <w:r>
              <w:rPr>
                <w:rFonts w:ascii="仿宋_GB2312" w:hAnsi="仿宋_GB2312" w:cs="仿宋_GB2312" w:eastAsia="仿宋_GB2312"/>
              </w:rPr>
              <w:t>针对本项目的设计质量控制的保证措施，包括①规范执行与标准落地②全流程质量管控机制③专业协同与技术复核④质量追溯与动态优化等。方案内容详细完整、针对性强、可行性高，符合项目实际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针对本项目的设计服务组织的保证措施，包括①材料设备造价管控标准与要求②施工过程造价管控标准与要求③工程变更与签证管控标准与要求④竣工结算造价管控标准与要求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时间进度安排计划</w:t>
            </w:r>
          </w:p>
        </w:tc>
        <w:tc>
          <w:tcPr>
            <w:tcW w:type="dxa" w:w="2492"/>
          </w:tcPr>
          <w:p>
            <w:pPr>
              <w:pStyle w:val="null3"/>
            </w:pPr>
            <w:r>
              <w:rPr>
                <w:rFonts w:ascii="仿宋_GB2312" w:hAnsi="仿宋_GB2312" w:cs="仿宋_GB2312" w:eastAsia="仿宋_GB2312"/>
              </w:rPr>
              <w:t>针对本项目的设计时间进度安排计划，包括①阶段划分与关键节点②资源配置与进度保障③风险应对与动态调整④进度可视化与验收标准等。方案内容详细完整、针对性强、可行性高，符合项目实际 要求。 每项满分1分，缺项不得分 , 每项内容存在缺陷，扣0.5分。缺陷是指内容不合理、虽有内容但不完善、内容表述前后不一致、套用其他项目方案或与项目需求不匹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项目设计方案</w:t>
            </w:r>
          </w:p>
        </w:tc>
        <w:tc>
          <w:tcPr>
            <w:tcW w:type="dxa" w:w="2492"/>
          </w:tcPr>
          <w:p>
            <w:pPr>
              <w:pStyle w:val="null3"/>
            </w:pPr>
            <w:r>
              <w:rPr>
                <w:rFonts w:ascii="仿宋_GB2312" w:hAnsi="仿宋_GB2312" w:cs="仿宋_GB2312" w:eastAsia="仿宋_GB2312"/>
              </w:rPr>
              <w:t>针对本项目的项目设计方案，包括①排水管道改造、供暖管道改造、燃气改造②道路整治③电力设施改造、电信设施改造④生活垃圾分类、小区绿化整治、照明设施改善、规划新增停车位、⑤新建非机动车车棚、增设电动自行车充电设施、增设室外体育健身设施、破损围墙修缮，设置通透式围墙增设智能感知设施等内容。方案内容详细完整、针对性强、可行性高，符合项目实际 要求。 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针对本项目的项目服务承诺，包括①响应及时性保障②设计变更管理③后期服务跟进等。方案内容详细完整、针对性强、可行性高，符合项目实际 要求。 每项满分1分，缺项不得分 , 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项目组配备高级及以上职称人员，每配备 1 名得 3 分，本项最高 15 分；配备中级职称人员，每配备 1 名得 2 分，本项最高 10 分。 注：投标时须提供对应人员职称证书、身份证复印件并加盖投标人公章，未按要求提供有效佐证材料的人员不计分（同一人员同时具备高级、中级职称的，仅按高级职称计分，不重复累加中级分值）。所有参与计分的职称人员，均须提供开标前半年内任意一个月的社保缴纳证明，无有效社保佐证的人员不予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投标人拟派项目负责人具备类似项目业绩的，须提供对应业绩的正式合同文件作为唯一有效佐证材料，且合同中必须明确载明项目负责人姓名。每提供1份真实、合规、有效的类似业绩合同得3分，本项累计最高得分15分。凡未提供合同佐证、合同未体现项目负责人姓名、合同资料无效、关键信息缺失或业绩类型不匹配的，本份业绩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供应商自2023 年 1月至今具有类似项目业绩 ，每提供一份合同得2分，共计10分。（注：提供设计服务合同，时间以合同签订时间为准）。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 为满分。其他供应商的价格分统一按照下列公式计算： 投标报价得分=（评标基准价/投标报价）×价格权值。 符合招标文件规定的小微企业、监狱企业、残疾人福利企业优惠条 件的供应商，价格给予 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