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版本号：政采-汉中市-2026-0034420260528001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2026年度国土变更调查市级汇总技术服务项目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政采-汉中市-2026-00344</w:t>
      </w:r>
      <w:r>
        <w:br/>
      </w:r>
      <w:r>
        <w:br/>
      </w:r>
      <w:r>
        <w:br/>
      </w:r>
    </w:p>
    <w:p>
      <w:pPr>
        <w:pStyle w:val="null3"/>
        <w:jc w:val="center"/>
        <w:outlineLvl w:val="2"/>
      </w:pPr>
      <w:r>
        <w:rPr>
          <w:rFonts w:ascii="仿宋_GB2312" w:hAnsi="仿宋_GB2312" w:cs="仿宋_GB2312" w:eastAsia="仿宋_GB2312"/>
          <w:sz w:val="28"/>
          <w:b/>
        </w:rPr>
        <w:t>汉中市自然资源局</w:t>
      </w:r>
    </w:p>
    <w:p>
      <w:pPr>
        <w:pStyle w:val="null3"/>
        <w:jc w:val="center"/>
        <w:outlineLvl w:val="2"/>
      </w:pPr>
      <w:r>
        <w:rPr>
          <w:rFonts w:ascii="仿宋_GB2312" w:hAnsi="仿宋_GB2312" w:cs="仿宋_GB2312" w:eastAsia="仿宋_GB2312"/>
          <w:sz w:val="28"/>
          <w:b/>
        </w:rPr>
        <w:t>陕西培森项目管理有限公司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陕西培森项目管理有限公司</w:t>
      </w:r>
      <w:r>
        <w:rPr>
          <w:rFonts w:ascii="仿宋_GB2312" w:hAnsi="仿宋_GB2312" w:cs="仿宋_GB2312" w:eastAsia="仿宋_GB2312"/>
        </w:rPr>
        <w:t>（以下简称“代理机构”）受</w:t>
      </w:r>
      <w:r>
        <w:rPr>
          <w:rFonts w:ascii="仿宋_GB2312" w:hAnsi="仿宋_GB2312" w:cs="仿宋_GB2312" w:eastAsia="仿宋_GB2312"/>
        </w:rPr>
        <w:t>汉中市自然资源局</w:t>
      </w:r>
      <w:r>
        <w:rPr>
          <w:rFonts w:ascii="仿宋_GB2312" w:hAnsi="仿宋_GB2312" w:cs="仿宋_GB2312" w:eastAsia="仿宋_GB2312"/>
        </w:rPr>
        <w:t>委托，拟对</w:t>
      </w:r>
      <w:r>
        <w:rPr>
          <w:rFonts w:ascii="仿宋_GB2312" w:hAnsi="仿宋_GB2312" w:cs="仿宋_GB2312" w:eastAsia="仿宋_GB2312"/>
        </w:rPr>
        <w:t>2026年度国土变更调查市级汇总技术服务项目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政采-汉中市-2026-00344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2026年度国土变更调查市级汇总技术服务项目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对2026年全市土地利用的地类、位置、面积、分布等自然属性和土地权属等社会属性及其变化情况，以及耕地、基本农田状况进行调查、监测、统计、分析，实行动态监测，为自然资源管理提供数据支撑。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采购包1（2026年度国土变更调查市级汇总技术服务项目）：属于专门面向中小企业采购。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份证明：供应商应具有独⽴承担⺠事责任的能⼒且具备向采购⼈提供相关服务的企业法人、事业单位法⼈、⺠办非企业单位、其他组织或者⾃然⼈，企业法⼈应提供统⼀社会信⽤代码的营业执照；事业单位法⼈应提供有效的事业单位法⼈证书；⺠办非企业单位应提供⺠办非企业单位（社会服务机构）登记证书；其他组织应提供合法设⽴登记⽂件、执业许可证等有效证明⽂件；⾃然⼈应提供⾝份证明⽂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 和社会保障资金的良好记录，以及参加本项目采购活动前三年内在经营活动中无重大违法活动记录， 供应商提供《汉中市政府采购供应商资格承诺函》；</w:t>
      </w:r>
    </w:p>
    <w:p>
      <w:pPr>
        <w:pStyle w:val="null3"/>
      </w:pPr>
      <w:r>
        <w:rPr>
          <w:rFonts w:ascii="仿宋_GB2312" w:hAnsi="仿宋_GB2312" w:cs="仿宋_GB2312" w:eastAsia="仿宋_GB2312"/>
        </w:rPr>
        <w:t>4、供应商资质：供应商须具备行业行政主管部门颁发的测绘乙级及以上资质（专业范围至少包含摄影测量与遥感、工程测量、界线与不动产测绘）；拟派项⽬负责⼈具有测绘类专业⼯程师及以上职称证书或注册测绘师专业技术职称；</w:t>
      </w:r>
    </w:p>
    <w:p>
      <w:pPr>
        <w:pStyle w:val="null3"/>
      </w:pPr>
      <w:r>
        <w:rPr>
          <w:rFonts w:ascii="仿宋_GB2312" w:hAnsi="仿宋_GB2312" w:cs="仿宋_GB2312" w:eastAsia="仿宋_GB2312"/>
        </w:rPr>
        <w:t>5、中小企业声明函：本项目专门面向中小企业采购，供应商应为中小微企业，填写中小企业声明函并对真实性负责;</w:t>
      </w:r>
    </w:p>
    <w:p>
      <w:pPr>
        <w:pStyle w:val="null3"/>
      </w:pPr>
      <w:r>
        <w:rPr>
          <w:rFonts w:ascii="仿宋_GB2312" w:hAnsi="仿宋_GB2312" w:cs="仿宋_GB2312" w:eastAsia="仿宋_GB2312"/>
        </w:rPr>
        <w:t>6、本项目不接受联合体磋商：本项目不接受联合体磋商。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0916-2996026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陕西培森项目管理有限公司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汉中市汉台区益州路桃园新居商铺北侧（圣达洪涛装饰⼯程有限公司⼆楼）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鄢敏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15619168877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开户名称：陕西培森项⽬管理有限公司</w:t>
            </w:r>
          </w:p>
          <w:p>
            <w:pPr>
              <w:pStyle w:val="null3"/>
            </w:pPr>
            <w:r>
              <w:rPr>
                <w:rFonts w:ascii="仿宋_GB2312" w:hAnsi="仿宋_GB2312" w:cs="仿宋_GB2312" w:eastAsia="仿宋_GB2312"/>
              </w:rPr>
              <w:t>开户银行：中国银⾏股份有限公司咸阳渭城区⽀⾏</w:t>
            </w:r>
          </w:p>
          <w:p>
            <w:pPr>
              <w:pStyle w:val="null3"/>
            </w:pPr>
            <w:r>
              <w:rPr>
                <w:rFonts w:ascii="仿宋_GB2312" w:hAnsi="仿宋_GB2312" w:cs="仿宋_GB2312" w:eastAsia="仿宋_GB2312"/>
              </w:rPr>
              <w:t>银行账号：103672378726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 暂⾏办法&gt;的通知》（计价格〔2002〕1980号）、国家改委办公厅颁发的《关于招标代理服务 收费有关问题的通知》（发改价格[2003]857号）和《国家发展改⾰委关于降低部分建设项⽬ 收费标准规范收费⾏为等有关问题的通知》(发改价格【2011】534号)⽂件规定，以成交价为 基数按标准取费。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汉中市自然资源局</w:t>
      </w:r>
      <w:r>
        <w:rPr>
          <w:rFonts w:ascii="仿宋_GB2312" w:hAnsi="仿宋_GB2312" w:cs="仿宋_GB2312" w:eastAsia="仿宋_GB2312"/>
        </w:rPr>
        <w:t>和</w:t>
      </w:r>
      <w:r>
        <w:rPr>
          <w:rFonts w:ascii="仿宋_GB2312" w:hAnsi="仿宋_GB2312" w:cs="仿宋_GB2312" w:eastAsia="仿宋_GB2312"/>
        </w:rPr>
        <w:t>陕西培森项目管理有限公司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陕西培森项目管理有限公司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陕西培森项目管理有限公司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财政部关于进一步加强政府采购需求和履约验收管理的指导意见》（财库〔2016〕205号）、《政府采购需求管理办法》（财库〔2021〕22号）等相关法律法规、技术标准、规范流程、采购文件、响应文件及合同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联系人：鄢敏</w:t>
      </w:r>
    </w:p>
    <w:p>
      <w:pPr>
        <w:pStyle w:val="null3"/>
      </w:pPr>
      <w:r>
        <w:rPr>
          <w:rFonts w:ascii="仿宋_GB2312" w:hAnsi="仿宋_GB2312" w:cs="仿宋_GB2312" w:eastAsia="仿宋_GB2312"/>
        </w:rPr>
        <w:t>联系电话：15619168877</w:t>
      </w:r>
    </w:p>
    <w:p>
      <w:pPr>
        <w:pStyle w:val="null3"/>
      </w:pPr>
      <w:r>
        <w:rPr>
          <w:rFonts w:ascii="仿宋_GB2312" w:hAnsi="仿宋_GB2312" w:cs="仿宋_GB2312" w:eastAsia="仿宋_GB2312"/>
        </w:rPr>
        <w:t>地址：汉中市汉台区益州路桃园新居商铺北侧（圣达洪涛装饰⼯程有限公司）</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对2026年全市土地利用的地类、位置、面积、分布等自然属性和土地权属等社会属性及其变化情况，以及耕地、基本农田状况进行调查、监测、统计、分析，实行动态监测，为自然资源管理提供数据支撑。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完成2026年度国土变更调查市级汇总工作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标的名称：完成2026年度国土变更调查市级汇总工作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90"/>
              <w:ind w:left="120"/>
            </w:pPr>
            <w:r>
              <w:rPr>
                <w:rFonts w:ascii="仿宋_GB2312" w:hAnsi="仿宋_GB2312" w:cs="仿宋_GB2312" w:eastAsia="仿宋_GB2312"/>
                <w:sz w:val="18"/>
                <w:color w:val="000000"/>
              </w:rPr>
              <w:t>一、总体目标：</w:t>
            </w:r>
          </w:p>
          <w:p>
            <w:pPr>
              <w:pStyle w:val="null3"/>
              <w:spacing w:before="90"/>
              <w:ind w:left="120" w:firstLine="376"/>
            </w:pPr>
            <w:r>
              <w:rPr>
                <w:rFonts w:ascii="仿宋_GB2312" w:hAnsi="仿宋_GB2312" w:cs="仿宋_GB2312" w:eastAsia="仿宋_GB2312"/>
                <w:sz w:val="18"/>
                <w:color w:val="000000"/>
              </w:rPr>
              <w:t>通过开展年度国土利用动态全覆盖遥感监测和国土变更调查，全面掌握年度国土利用变化情况，进一步夯实国土调查成果作为自然资源管理工作底数、底版和底图的工作基础，为城市国土空间规划体检、耕地保护和粮食安全责任制考核的数据准备，有效支撑高质量发展和国土空间治理现代化。</w:t>
            </w:r>
          </w:p>
          <w:p>
            <w:pPr>
              <w:pStyle w:val="null3"/>
              <w:spacing w:before="90"/>
            </w:pPr>
            <w:r>
              <w:rPr>
                <w:rFonts w:ascii="仿宋_GB2312" w:hAnsi="仿宋_GB2312" w:cs="仿宋_GB2312" w:eastAsia="仿宋_GB2312"/>
                <w:sz w:val="18"/>
                <w:color w:val="000000"/>
              </w:rPr>
              <w:t>二、具体情况：</w:t>
            </w:r>
          </w:p>
          <w:p>
            <w:pPr>
              <w:pStyle w:val="null3"/>
              <w:spacing w:before="90"/>
              <w:ind w:left="120" w:firstLine="376"/>
            </w:pPr>
            <w:r>
              <w:rPr>
                <w:rFonts w:ascii="仿宋_GB2312" w:hAnsi="仿宋_GB2312" w:cs="仿宋_GB2312" w:eastAsia="仿宋_GB2312"/>
                <w:sz w:val="18"/>
                <w:color w:val="000000"/>
              </w:rPr>
              <w:t>1、内业核查。包括核查前期数据准备、图斑核查、复核检查、二轮复核检查，难度等级为Ⅱ-Ⅲ级，数量为全市11个县级调查单元。</w:t>
            </w:r>
          </w:p>
          <w:p>
            <w:pPr>
              <w:pStyle w:val="null3"/>
              <w:spacing w:before="90"/>
              <w:ind w:left="120" w:firstLine="376"/>
            </w:pPr>
            <w:r>
              <w:rPr>
                <w:rFonts w:ascii="仿宋_GB2312" w:hAnsi="仿宋_GB2312" w:cs="仿宋_GB2312" w:eastAsia="仿宋_GB2312"/>
                <w:sz w:val="18"/>
                <w:color w:val="000000"/>
              </w:rPr>
              <w:t>2、核查成果分析与运用。难度等级为Ⅱ级，数量为全市11个县级调查单元。</w:t>
            </w:r>
          </w:p>
          <w:p>
            <w:pPr>
              <w:pStyle w:val="null3"/>
              <w:spacing w:before="90"/>
              <w:ind w:left="120" w:firstLine="376"/>
            </w:pPr>
            <w:r>
              <w:rPr>
                <w:rFonts w:ascii="仿宋_GB2312" w:hAnsi="仿宋_GB2312" w:cs="仿宋_GB2312" w:eastAsia="仿宋_GB2312"/>
                <w:sz w:val="18"/>
                <w:color w:val="000000"/>
              </w:rPr>
              <w:t>3、日常国土变更调查成果核查。难度等级为Ⅲ级，数量预计全年核查4.11万个图斑。</w:t>
            </w:r>
          </w:p>
          <w:p>
            <w:pPr>
              <w:pStyle w:val="null3"/>
              <w:spacing w:before="90"/>
              <w:ind w:left="120" w:firstLine="376"/>
            </w:pPr>
            <w:r>
              <w:rPr>
                <w:rFonts w:ascii="仿宋_GB2312" w:hAnsi="仿宋_GB2312" w:cs="仿宋_GB2312" w:eastAsia="仿宋_GB2312"/>
                <w:sz w:val="18"/>
                <w:color w:val="000000"/>
              </w:rPr>
              <w:t>4、数据统计汇总。难度等级为Ⅲ级，数量为200万个图斑。</w:t>
            </w:r>
          </w:p>
          <w:p>
            <w:pPr>
              <w:pStyle w:val="null3"/>
              <w:spacing w:before="90"/>
              <w:ind w:left="120" w:firstLine="376"/>
            </w:pPr>
            <w:r>
              <w:rPr>
                <w:rFonts w:ascii="仿宋_GB2312" w:hAnsi="仿宋_GB2312" w:cs="仿宋_GB2312" w:eastAsia="仿宋_GB2312"/>
                <w:sz w:val="18"/>
                <w:color w:val="000000"/>
              </w:rPr>
              <w:t>5、耕地资源质量分类数据质量检查。难度等级为Ⅱ级，数量为27096平方公里。</w:t>
            </w:r>
          </w:p>
          <w:p>
            <w:pPr>
              <w:pStyle w:val="null3"/>
              <w:spacing w:before="90"/>
            </w:pPr>
            <w:r>
              <w:rPr>
                <w:rFonts w:ascii="仿宋_GB2312" w:hAnsi="仿宋_GB2312" w:cs="仿宋_GB2312" w:eastAsia="仿宋_GB2312"/>
                <w:sz w:val="18"/>
                <w:color w:val="000000"/>
              </w:rPr>
              <w:t>三、绩效目标：</w:t>
            </w:r>
          </w:p>
          <w:p>
            <w:pPr>
              <w:pStyle w:val="null3"/>
            </w:pPr>
            <w:r>
              <w:rPr>
                <w:rFonts w:ascii="仿宋_GB2312" w:hAnsi="仿宋_GB2312" w:cs="仿宋_GB2312" w:eastAsia="仿宋_GB2312"/>
                <w:sz w:val="18"/>
                <w:color w:val="000000"/>
              </w:rPr>
              <w:t xml:space="preserve">   完成2026年全市11县区国土变更调查数据质检、统计、分析，建库工作，图斑差错率低于</w:t>
            </w:r>
            <w:r>
              <w:rPr>
                <w:rFonts w:ascii="仿宋_GB2312" w:hAnsi="仿宋_GB2312" w:cs="仿宋_GB2312" w:eastAsia="仿宋_GB2312"/>
                <w:sz w:val="18"/>
              </w:rPr>
              <w:t>2%</w:t>
            </w:r>
            <w:r>
              <w:rPr>
                <w:rFonts w:ascii="仿宋_GB2312" w:hAnsi="仿宋_GB2312" w:cs="仿宋_GB2312" w:eastAsia="仿宋_GB2312"/>
                <w:sz w:val="18"/>
                <w:color w:val="000000"/>
              </w:rPr>
              <w:t>，变更调查数据成果按时提交省级汇交。</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财政部关于进一步加强政府采购需求和履约验收管理的指导意见》（财库〔2016〕205号）、《政府采购需求管理办法》（财库〔2021〕22号）等相关法律法规、技术标准、规范流程、采购文件、响应文件及合同进行验收。验收标准：按采购文件要求、供应商的响应文件及承诺、签订的合同、国家及行业相关规范标准进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进度款，成果经省级核查通过并上报国家后，达到付款条件起30个工作日内，支付合同总金额的30.0%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进度款，最终调查成果通过国家核查、省级验收，所有调查成果交付甲方后，达到付款条件起30个工作日内，支付合同总金额的70.0%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参考民法典，以合同签订为准。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份证明：供应商应具有独⽴承担⺠事责任的能⼒且具备向采购⼈提供相关服务的企业法人、事业单位法⼈、⺠办非企业单位、其他组织或者⾃然⼈，企业法⼈应提供统⼀社会信⽤代码的营业执照；事业单位法⼈应提供有效的事业单位法⼈证书；⺠办非企业单位应提供⺠办非企业单位（社会服务机构）登记证书；其他组织应提供合法设⽴登记⽂件、执业许可证等有效证明⽂件；⾃然⼈应提供⾝份证明⽂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 和社会保障资金的良好记录，以及参加本项目采购活动前三年内在经营活动中无重大违法活动记录， 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行业行政主管部门颁发的测绘乙级及以上资质（专业范围至少包含摄影测量与遥感、工程测量、界线与不动产测绘）；拟派项⽬负责⼈具有测绘类专业⼯程师及以上职称证书或注册测绘师专业技术职称；</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本项目专门面向中小企业采购，供应商应为中小微企业，填写中小企业声明函并对真实性负责;</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按照磋商⽂件格式要求进⾏签署盖章。</w:t>
            </w:r>
          </w:p>
        </w:tc>
        <w:tc>
          <w:tcPr>
            <w:tcW w:type="dxa" w:w="1661"/>
          </w:tcPr>
          <w:p>
            <w:pPr>
              <w:pStyle w:val="null3"/>
            </w:pPr>
            <w:r>
              <w:rPr>
                <w:rFonts w:ascii="仿宋_GB2312" w:hAnsi="仿宋_GB2312" w:cs="仿宋_GB2312" w:eastAsia="仿宋_GB2312"/>
              </w:rPr>
              <w:t>磋商保证金.docx 供应商类似项目业绩一览表.docx 中小企业声明函 报价表 商务应答表.docx 服务内容及服务邀请应答表.pdf 拟投入本项目的工器具配置表.docx 响应文件封面 残疾人福利性单位声明函 供应商应提交的相关资格证明材料.pdf 标的清单 拟投入本项目人员配置情况表.pdf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符合“磋商响应⽂件格式”的规定。</w:t>
            </w:r>
          </w:p>
        </w:tc>
        <w:tc>
          <w:tcPr>
            <w:tcW w:type="dxa" w:w="1661"/>
          </w:tcPr>
          <w:p>
            <w:pPr>
              <w:pStyle w:val="null3"/>
            </w:pPr>
            <w:r>
              <w:rPr>
                <w:rFonts w:ascii="仿宋_GB2312" w:hAnsi="仿宋_GB2312" w:cs="仿宋_GB2312" w:eastAsia="仿宋_GB2312"/>
              </w:rPr>
              <w:t>磋商保证金.docx 供应商类似项目业绩一览表.docx 中小企业声明函 报价表 商务应答表.docx 服务内容及服务邀请应答表.pdf 拟投入本项目的工器具配置表.docx 响应文件封面 残疾人福利性单位声明函 供应商应提交的相关资格证明材料.pdf 标的清单 拟投入本项目人员配置情况表.pdf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只能有⼀个有效报价，不得提交选择性报价， 且报价不超过最⾼限价。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满足磋商文件的要求，提供磋商保证金缴纳凭证或担保机构出具的保函。</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完全响应竞争性磋商⽂件要求的各项技术（服务）条款、商务实质性条款。</w:t>
            </w:r>
          </w:p>
        </w:tc>
        <w:tc>
          <w:tcPr>
            <w:tcW w:type="dxa" w:w="1661"/>
          </w:tcPr>
          <w:p>
            <w:pPr>
              <w:pStyle w:val="null3"/>
            </w:pPr>
            <w:r>
              <w:rPr>
                <w:rFonts w:ascii="仿宋_GB2312" w:hAnsi="仿宋_GB2312" w:cs="仿宋_GB2312" w:eastAsia="仿宋_GB2312"/>
              </w:rPr>
              <w:t>商务应答表.docx 服务内容及服务邀请应答表.pdf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供应商提供2023年1月1日以来承担过调查、测绘类等类似项目业绩，时间以合同签订日期为准，每提供一项上述业绩的得2.5分，最高得5分。文件中须附合同扫描件并加盖供应商公章，不提供不得分。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拟派项目人员中，项目负责人同时具备测绘类专业高级职称与注册测绘师资格的得4分；同时具备测绘类中级职称与注册测绘师资格的得3分；仅具备测绘类高级职称的得2 分；仅具备注册测绘师资格的得2 分，仅具备测绘类中级职称的得 1 分。项目其他技术人员（除项目负责人外）具备测绘类专业高级职称的得2分，测绘类专业中级职称的得1分，每有1⼈得1分，最高得6分（同一人不重复计分）；注：供应商需提供以上人员身份证、学历证书、职称证书、资格证书（如有）扫描件或复印件及响应文件递交截止日前6个月内任意一个月的社保缴纳证明材料（社保缴纳单位须与供应商单位名称一致）并加盖单位公章，提供材料不全、不符或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拟投入本项目人员配置情况表.pdf</w:t>
            </w:r>
          </w:p>
        </w:tc>
      </w:tr>
      <w:tr>
        <w:tc>
          <w:tcPr>
            <w:tcW w:type="dxa" w:w="831"/>
            <w:vMerge/>
          </w:tcPr>
          <w:p/>
        </w:tc>
        <w:tc>
          <w:tcPr>
            <w:tcW w:type="dxa" w:w="1661"/>
          </w:tcPr>
          <w:p>
            <w:pPr>
              <w:pStyle w:val="null3"/>
            </w:pPr>
            <w:r>
              <w:rPr>
                <w:rFonts w:ascii="仿宋_GB2312" w:hAnsi="仿宋_GB2312" w:cs="仿宋_GB2312" w:eastAsia="仿宋_GB2312"/>
              </w:rPr>
              <w:t>工器具配置方案</w:t>
            </w:r>
          </w:p>
        </w:tc>
        <w:tc>
          <w:tcPr>
            <w:tcW w:type="dxa" w:w="2492"/>
          </w:tcPr>
          <w:p>
            <w:pPr>
              <w:pStyle w:val="null3"/>
            </w:pPr>
            <w:r>
              <w:rPr>
                <w:rFonts w:ascii="仿宋_GB2312" w:hAnsi="仿宋_GB2312" w:cs="仿宋_GB2312" w:eastAsia="仿宋_GB2312"/>
              </w:rPr>
              <w:t>一、评审内容:投标人针对本项目提出适用于本项目的工器具配置方案，包括但不限于:①工器具配置方案；②工器具供应保障措施。 二、评审标准：1、完整性:方案全面，对评审内容中的各项要求配置详细；2、可实施性:切合本项目实际情况，满足项目需求；3、针对性:方案能够紧扣项目实际情况，内容科学合理。 三、赋分(满分3分)①工器具配置方案:每满足一个评审标准，得0.5分，满分1.5分；有一项缺陷扣0.5分；②工器具供应保障措施:每满足一个评审标准，得0.5分，满分1.5分。有一项缺陷扣0.5分；（缺陷是指：内容粗略、逻辑混乱、描述过于简单、与项目特点不匹配、凭空编造、逻辑漏洞、出现常识性错误、存在不可能实现的夸大情形） 四、以上内容未提供得0分。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拟投入本项目的工器具配置表.docx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出适用于本项目的实施方案。包括但不限于:①对项目背景以及项目工作目标的总体理解与认知；②总体规划思路以及国土调查的具体作业方法(包含前期数据准备、图斑核查、复核检查、核查成果分析与运用、数据统计汇总、耕地资源质量分类数据质量检查等)；③国土调查结果准确、规范的保障措施(提供保障调查结果的具体措施等内容)；④项目前期数据准备、复核检查、数据处理、成果分析与运用、成果提交等内容是否有创新技术。 二、评审标准:1、完整性:方案全面，对各方面内容中有详细描述;2、合理性:方案实施步骤科学清晰、合理可行;3、针对性:紧扣项目实际情况，能根据采购人的具体要求制定个性化服务方案。 三、赋分(满分36分)①对项目背景以及项目工作目标的总体理解与认知:每满足一个评审标准，得3分，满分9分;有一项缺陷扣3分。②总体规划思路以及国土调查的具体作业方法:每满足一个评审标准，得3分，满分9分；有一项缺陷扣3分。③国土调查结果准确、规范的保障措施：每满足一个评审标准，得3分，满分9分；有一项缺陷扣3分。④项目前期数据准备、复核检查、数据处理、成果分析与运用、成果提交等内容是否有创新技术：每满足一个评审标准，得3分，满分9分，有一项缺陷扣3分。（缺陷是指：内容粗略、逻辑混乱、描述过于简单、与项目特点不匹配、凭空编造、逻辑漏洞、出现常识性错误、存在不可能实现的夸大情形） 四、以上内容未提供得0分。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一、评审内容:供应商针对本项目提出适用于本项目的实施进度方案(项目实施进度计划、提供详细的进度计划表或示意图，提供项目进度保障措施等内容)； 二、评审标准:1、完整性:方案全面，对项目进度有详细安排；2、合理性:进度方案实施步骤科学清晰、合理可行；3、针对性:紧扣项目实际情况，能根据采购人的具体要求制定进度方案。 三、赋分(满分6分) 实施进度:每满足一个评审标准，得2分，满分6分；有一项缺陷扣2分。（缺陷是指：内容粗略、逻辑混乱、描述过于简单、与项目特点不匹配、凭空编造、逻辑漏洞、出现常识性错误、存在不可能实现的夸大情形） 四、以上内容未提供得0分。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一、评审内容：根据供应商针对本项目的实际情况制定的后续服务方案进行审，评审要点包含：①后续服务内容②服务方式及响应时间③后期成果汇总完善管理措施。 二、评审标准:1、完整性:方案全面，对各方面内容中有详细描述；2、合理性:方案实施步骤科学清晰、合理可行；3、针对性:紧扣项目实际情况，能根据采购人的具体要求制定方案。 三、赋分(满分9分) ①后续服务内容，每满足一个评审标准，得1分，满分3分；有一项缺陷扣1分。 ②服务方式及响应时间，每满足一个评审标准，得1分，满分3分；有一项缺陷扣1分。 ③后期成果汇总完善管理措施，每满足一个评审标准，得1分，满分3分；有一项缺陷扣1分。（缺陷是指：内容粗略、逻辑混乱、描述过于简单、与项目特点不匹配、凭空编造、逻辑漏洞、出现常识性错误、存在不可能实现的夸大情形） 四、以上内容未提供得0分。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一、评审内容:提供本项目安全方案及安全保障体系（包括但不限于①系统安全、②信息安全、③管理安全、④数据安全等）。 二、评审标准:1、完整性:方案全面，对档案管理、数据保密管理有详细规章制度;2、合理性:数据管理方案科学、合理可行;3，针对性:紧扣项目实际情况，能根据采购人的具体要求制定数据管理方案。 三、赋分(满分6分) ①每满足一个评审标准，得0.5分，满分1.5分；有一项缺陷扣0.5分。②每满足一个评审标准，得0.5分，满分1.5分；有一项缺陷扣0.5分。 ③每满足一个评审标准，得0.5分，满分1.5分；有一项缺陷扣0.5分。 ④每满足一个评审标准，得0.5分，满分1.5分；有一项缺陷扣0.5分。（缺陷是指：内容粗略、逻辑混乱、描述过于简单、与项目特点不匹配、凭空编造、逻辑漏洞、出现常识性错误、存在不可能实现的夸大情形） 四、以上内容未提供得0分。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重难点分析及控制措施</w:t>
            </w:r>
          </w:p>
        </w:tc>
        <w:tc>
          <w:tcPr>
            <w:tcW w:type="dxa" w:w="2492"/>
          </w:tcPr>
          <w:p>
            <w:pPr>
              <w:pStyle w:val="null3"/>
            </w:pPr>
            <w:r>
              <w:rPr>
                <w:rFonts w:ascii="仿宋_GB2312" w:hAnsi="仿宋_GB2312" w:cs="仿宋_GB2312" w:eastAsia="仿宋_GB2312"/>
              </w:rPr>
              <w:t>一、重难点分析及控制措施，根据①数据收集整理；②空间信息细化补充；③元数据生产；④成果汇交,等内容在执行过程中出现的重点和难点情况进行分析并提出控制措施。 二、评审标准:1、完整性:紧扣项目实际，对项目重难点分析透彻、全面、准确、直观，有详细描述;2、合理性:紧扣项目实际，根据项目重难点分析制定个性化控制措施，措施合理、科学可行; 三、赋分(满分9分) ①每满足一个评审标准，得1分，满分2分；有一项缺陷扣1分。②每满足一个评审标准，得1分，满分2分；有一项缺陷扣1分。③每满足一个评审标准，得1分，满分2分；有一项缺陷扣1分。④每满足一个评审标准，得1.5分，满分3分。有一项缺陷扣1.5分。（缺陷是指：内容粗略、逻辑混乱、描述过于简单、与项目特点不匹配、凭空编造、逻辑漏洞、出现常识性错误、存在不可能实现的夸大情形） 四、以上内容未提供得0分。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针对本项目提供详尽的服务承诺，包含但不限于针对本项目的①有利于本项目实施的服务承诺；②合理化建议。 二、评审标准 1、完善性：方案必须全面，对评审内容中的各项要求有详细阐述； 2、可实施性：切合本项目实际情况，提出步骤清晰、合理的方案；3、针对性：方案能够紧扣项目实际情况，内容科学合理。三、赋分(满分6分) ①每满足一个评审标准，得1分，满分3分；有一项缺陷扣1分。②每满足一个评审标准，得1分，满分3分。有一项缺陷扣1分。（缺陷是指：内容粗略、逻辑混乱、描述过于简单、与项目特点不匹配、凭空编造、逻辑漏洞、出现常识性错误、存在不可能实现的夸大情形） 四、以上内容未提供得0分。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详见附件：拟投入本项目的工器具配置表.docx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详见附件：服务内容及服务邀请应答表.pdf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详见附件：拟投入本项目人员配置情况表.pdf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